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56ECB" w14:textId="15C76C22" w:rsidR="008D4A8B" w:rsidRDefault="00ED1831">
      <w:pPr>
        <w:rPr>
          <w:b/>
          <w:bCs/>
          <w:color w:val="000000"/>
        </w:rPr>
      </w:pPr>
      <w:r>
        <w:rPr>
          <w:rStyle w:val="Strong"/>
          <w:color w:val="000000"/>
        </w:rPr>
        <w:t xml:space="preserve">OXBRYTA- </w:t>
      </w:r>
      <w:proofErr w:type="spellStart"/>
      <w:r>
        <w:rPr>
          <w:rStyle w:val="Strong"/>
          <w:color w:val="000000"/>
        </w:rPr>
        <w:t>voxelotor</w:t>
      </w:r>
      <w:proofErr w:type="spellEnd"/>
      <w:r>
        <w:rPr>
          <w:rStyle w:val="Strong"/>
          <w:color w:val="000000"/>
        </w:rPr>
        <w:t> tablet, film coated </w:t>
      </w:r>
      <w:r>
        <w:rPr>
          <w:b/>
          <w:bCs/>
          <w:color w:val="000000"/>
        </w:rPr>
        <w:br/>
      </w:r>
      <w:r>
        <w:rPr>
          <w:rStyle w:val="Strong"/>
          <w:color w:val="000000"/>
        </w:rPr>
        <w:t xml:space="preserve">OXBRYTA- </w:t>
      </w:r>
      <w:proofErr w:type="spellStart"/>
      <w:r>
        <w:rPr>
          <w:rStyle w:val="Strong"/>
          <w:color w:val="000000"/>
        </w:rPr>
        <w:t>voxelotor</w:t>
      </w:r>
      <w:proofErr w:type="spellEnd"/>
      <w:r>
        <w:rPr>
          <w:rStyle w:val="Strong"/>
          <w:color w:val="000000"/>
        </w:rPr>
        <w:t> tablet, for suspension </w:t>
      </w:r>
      <w:r>
        <w:rPr>
          <w:b/>
          <w:bCs/>
          <w:color w:val="000000"/>
        </w:rPr>
        <w:br/>
        <w:t>Global Blood Therapeutics, Inc, A subsidiary of Pfizer Inc.</w:t>
      </w:r>
    </w:p>
    <w:p w14:paraId="6CFFDF02" w14:textId="77777777" w:rsidR="00ED1831" w:rsidRDefault="00ED1831">
      <w:pPr>
        <w:rPr>
          <w:b/>
          <w:bCs/>
          <w:color w:val="000000"/>
        </w:rPr>
      </w:pPr>
    </w:p>
    <w:tbl>
      <w:tblPr>
        <w:tblW w:w="5000" w:type="pct"/>
        <w:tblCellMar>
          <w:top w:w="100" w:type="dxa"/>
          <w:left w:w="100" w:type="dxa"/>
          <w:bottom w:w="100" w:type="dxa"/>
          <w:right w:w="100" w:type="dxa"/>
        </w:tblCellMar>
        <w:tblLook w:val="04A0" w:firstRow="1" w:lastRow="0" w:firstColumn="1" w:lastColumn="0" w:noHBand="0" w:noVBand="1"/>
      </w:tblPr>
      <w:tblGrid>
        <w:gridCol w:w="4680"/>
        <w:gridCol w:w="4680"/>
      </w:tblGrid>
      <w:tr w:rsidR="00ED1831" w:rsidRPr="00ED1831" w14:paraId="0F8C64A6" w14:textId="77777777" w:rsidTr="00ED1831">
        <w:tc>
          <w:tcPr>
            <w:tcW w:w="2500" w:type="pct"/>
            <w:gridSpan w:val="2"/>
            <w:tcBorders>
              <w:top w:val="nil"/>
              <w:left w:val="nil"/>
              <w:bottom w:val="nil"/>
              <w:right w:val="nil"/>
            </w:tcBorders>
            <w:hideMark/>
          </w:tcPr>
          <w:p w14:paraId="112643B6" w14:textId="77777777" w:rsidR="00ED1831" w:rsidRPr="00ED1831" w:rsidRDefault="00ED1831" w:rsidP="00ED1831">
            <w:pPr>
              <w:spacing w:before="100" w:beforeAutospacing="1"/>
              <w:outlineLvl w:val="0"/>
              <w:rPr>
                <w:rFonts w:ascii="Times New Roman" w:eastAsia="Times New Roman" w:hAnsi="Times New Roman" w:cs="Times New Roman"/>
                <w:b/>
                <w:bCs/>
                <w:kern w:val="36"/>
                <w:sz w:val="19"/>
                <w:szCs w:val="19"/>
              </w:rPr>
            </w:pPr>
            <w:r w:rsidRPr="00ED1831">
              <w:rPr>
                <w:rFonts w:ascii="Times New Roman" w:eastAsia="Times New Roman" w:hAnsi="Times New Roman" w:cs="Times New Roman"/>
                <w:b/>
                <w:bCs/>
                <w:kern w:val="36"/>
                <w:sz w:val="19"/>
                <w:szCs w:val="19"/>
              </w:rPr>
              <w:t>HIGHLIGHTS OF PRESCRIBING INFORMATION</w:t>
            </w:r>
          </w:p>
          <w:p w14:paraId="040064E7" w14:textId="77777777" w:rsidR="00ED1831" w:rsidRPr="00ED1831" w:rsidRDefault="00ED1831" w:rsidP="00ED1831">
            <w:pPr>
              <w:rPr>
                <w:rFonts w:ascii="Times New Roman" w:eastAsia="Times New Roman" w:hAnsi="Times New Roman" w:cs="Times New Roman"/>
                <w:b/>
                <w:bCs/>
                <w:sz w:val="19"/>
                <w:szCs w:val="19"/>
              </w:rPr>
            </w:pPr>
            <w:r w:rsidRPr="00ED1831">
              <w:rPr>
                <w:rFonts w:ascii="Times New Roman" w:eastAsia="Times New Roman" w:hAnsi="Times New Roman" w:cs="Times New Roman"/>
                <w:b/>
                <w:bCs/>
                <w:sz w:val="19"/>
                <w:szCs w:val="19"/>
              </w:rPr>
              <w:t>These highlights do not include all the information needed to use OXBRYTA safely and effectively. See full prescribing information for OXBRYTA.</w:t>
            </w:r>
            <w:r w:rsidRPr="00ED1831">
              <w:rPr>
                <w:rFonts w:ascii="Times New Roman" w:eastAsia="Times New Roman" w:hAnsi="Times New Roman" w:cs="Times New Roman"/>
                <w:b/>
                <w:bCs/>
                <w:sz w:val="19"/>
                <w:szCs w:val="19"/>
              </w:rPr>
              <w:br/>
            </w:r>
            <w:r w:rsidRPr="00ED1831">
              <w:rPr>
                <w:rFonts w:ascii="Times New Roman" w:eastAsia="Times New Roman" w:hAnsi="Times New Roman" w:cs="Times New Roman"/>
                <w:b/>
                <w:bCs/>
                <w:sz w:val="19"/>
                <w:szCs w:val="19"/>
              </w:rPr>
              <w:br/>
              <w:t>OXBRYTA</w:t>
            </w:r>
            <w:r w:rsidRPr="00ED1831">
              <w:rPr>
                <w:rFonts w:ascii="Times New Roman" w:eastAsia="Times New Roman" w:hAnsi="Times New Roman" w:cs="Times New Roman"/>
                <w:b/>
                <w:bCs/>
                <w:sz w:val="15"/>
                <w:szCs w:val="15"/>
              </w:rPr>
              <w:t>®</w:t>
            </w:r>
            <w:r w:rsidRPr="00ED1831">
              <w:rPr>
                <w:rFonts w:ascii="Times New Roman" w:eastAsia="Times New Roman" w:hAnsi="Times New Roman" w:cs="Times New Roman"/>
                <w:b/>
                <w:bCs/>
                <w:sz w:val="19"/>
                <w:szCs w:val="19"/>
              </w:rPr>
              <w:t> (</w:t>
            </w:r>
            <w:proofErr w:type="spellStart"/>
            <w:r w:rsidRPr="00ED1831">
              <w:rPr>
                <w:rFonts w:ascii="Times New Roman" w:eastAsia="Times New Roman" w:hAnsi="Times New Roman" w:cs="Times New Roman"/>
                <w:b/>
                <w:bCs/>
                <w:sz w:val="19"/>
                <w:szCs w:val="19"/>
              </w:rPr>
              <w:t>voxelotor</w:t>
            </w:r>
            <w:proofErr w:type="spellEnd"/>
            <w:r w:rsidRPr="00ED1831">
              <w:rPr>
                <w:rFonts w:ascii="Times New Roman" w:eastAsia="Times New Roman" w:hAnsi="Times New Roman" w:cs="Times New Roman"/>
                <w:b/>
                <w:bCs/>
                <w:sz w:val="19"/>
                <w:szCs w:val="19"/>
              </w:rPr>
              <w:t>) tablets, for oral use</w:t>
            </w:r>
            <w:r w:rsidRPr="00ED1831">
              <w:rPr>
                <w:rFonts w:ascii="Times New Roman" w:eastAsia="Times New Roman" w:hAnsi="Times New Roman" w:cs="Times New Roman"/>
                <w:b/>
                <w:bCs/>
                <w:sz w:val="19"/>
                <w:szCs w:val="19"/>
              </w:rPr>
              <w:br/>
              <w:t>OXBRYTA</w:t>
            </w:r>
            <w:r w:rsidRPr="00ED1831">
              <w:rPr>
                <w:rFonts w:ascii="Times New Roman" w:eastAsia="Times New Roman" w:hAnsi="Times New Roman" w:cs="Times New Roman"/>
                <w:b/>
                <w:bCs/>
                <w:sz w:val="15"/>
                <w:szCs w:val="15"/>
              </w:rPr>
              <w:t>®</w:t>
            </w:r>
            <w:r w:rsidRPr="00ED1831">
              <w:rPr>
                <w:rFonts w:ascii="Times New Roman" w:eastAsia="Times New Roman" w:hAnsi="Times New Roman" w:cs="Times New Roman"/>
                <w:b/>
                <w:bCs/>
                <w:sz w:val="19"/>
                <w:szCs w:val="19"/>
              </w:rPr>
              <w:t> (</w:t>
            </w:r>
            <w:proofErr w:type="spellStart"/>
            <w:r w:rsidRPr="00ED1831">
              <w:rPr>
                <w:rFonts w:ascii="Times New Roman" w:eastAsia="Times New Roman" w:hAnsi="Times New Roman" w:cs="Times New Roman"/>
                <w:b/>
                <w:bCs/>
                <w:sz w:val="19"/>
                <w:szCs w:val="19"/>
              </w:rPr>
              <w:t>voxelotor</w:t>
            </w:r>
            <w:proofErr w:type="spellEnd"/>
            <w:r w:rsidRPr="00ED1831">
              <w:rPr>
                <w:rFonts w:ascii="Times New Roman" w:eastAsia="Times New Roman" w:hAnsi="Times New Roman" w:cs="Times New Roman"/>
                <w:b/>
                <w:bCs/>
                <w:sz w:val="19"/>
                <w:szCs w:val="19"/>
              </w:rPr>
              <w:t>) tablets for oral suspension</w:t>
            </w:r>
            <w:r w:rsidRPr="00ED1831">
              <w:rPr>
                <w:rFonts w:ascii="Times New Roman" w:eastAsia="Times New Roman" w:hAnsi="Times New Roman" w:cs="Times New Roman"/>
                <w:b/>
                <w:bCs/>
                <w:sz w:val="19"/>
                <w:szCs w:val="19"/>
              </w:rPr>
              <w:br/>
              <w:t>Initial U.S. Approval: 2019</w:t>
            </w:r>
          </w:p>
          <w:p w14:paraId="1E2BA5D8" w14:textId="77777777" w:rsidR="00ED1831" w:rsidRPr="00ED1831" w:rsidRDefault="00ED1831" w:rsidP="00ED1831">
            <w:pPr>
              <w:ind w:left="620" w:right="620"/>
              <w:jc w:val="center"/>
              <w:outlineLvl w:val="0"/>
              <w:rPr>
                <w:rFonts w:ascii="Times New Roman" w:eastAsia="Times New Roman" w:hAnsi="Times New Roman" w:cs="Times New Roman"/>
                <w:b/>
                <w:bCs/>
                <w:kern w:val="36"/>
                <w:sz w:val="19"/>
                <w:szCs w:val="19"/>
              </w:rPr>
            </w:pPr>
            <w:r w:rsidRPr="00ED1831">
              <w:rPr>
                <w:rFonts w:ascii="Times New Roman" w:eastAsia="Times New Roman" w:hAnsi="Times New Roman" w:cs="Times New Roman"/>
                <w:b/>
                <w:bCs/>
                <w:kern w:val="36"/>
                <w:sz w:val="19"/>
                <w:szCs w:val="19"/>
                <w:shd w:val="clear" w:color="auto" w:fill="FFFFFF"/>
              </w:rPr>
              <w:t>RECENT MAJOR CHANGES</w:t>
            </w:r>
          </w:p>
          <w:tbl>
            <w:tblPr>
              <w:tblW w:w="5000" w:type="pct"/>
              <w:tblCellMar>
                <w:top w:w="15" w:type="dxa"/>
                <w:left w:w="15" w:type="dxa"/>
                <w:bottom w:w="15" w:type="dxa"/>
                <w:right w:w="15" w:type="dxa"/>
              </w:tblCellMar>
              <w:tblLook w:val="04A0" w:firstRow="1" w:lastRow="0" w:firstColumn="1" w:lastColumn="0" w:noHBand="0" w:noVBand="1"/>
            </w:tblPr>
            <w:tblGrid>
              <w:gridCol w:w="8018"/>
              <w:gridCol w:w="1142"/>
            </w:tblGrid>
            <w:tr w:rsidR="00ED1831" w:rsidRPr="00ED1831" w14:paraId="28473FCB" w14:textId="77777777" w:rsidTr="00ED1831">
              <w:tc>
                <w:tcPr>
                  <w:tcW w:w="0" w:type="auto"/>
                  <w:tcBorders>
                    <w:top w:val="nil"/>
                    <w:left w:val="nil"/>
                    <w:bottom w:val="nil"/>
                    <w:right w:val="nil"/>
                  </w:tcBorders>
                  <w:vAlign w:val="center"/>
                  <w:hideMark/>
                </w:tcPr>
                <w:p w14:paraId="0B862497" w14:textId="77777777" w:rsidR="00ED1831" w:rsidRPr="00ED1831" w:rsidRDefault="00ED1831" w:rsidP="00ED1831">
                  <w:pPr>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Dosage and Administration (</w:t>
                  </w:r>
                  <w:hyperlink r:id="rId4" w:anchor="S2" w:history="1">
                    <w:r w:rsidRPr="00ED1831">
                      <w:rPr>
                        <w:rFonts w:ascii="Times New Roman" w:eastAsia="Times New Roman" w:hAnsi="Times New Roman" w:cs="Times New Roman"/>
                        <w:color w:val="0000FF"/>
                        <w:sz w:val="19"/>
                        <w:szCs w:val="19"/>
                        <w:u w:val="single"/>
                      </w:rPr>
                      <w:t>2</w:t>
                    </w:r>
                  </w:hyperlink>
                  <w:r w:rsidRPr="00ED1831">
                    <w:rPr>
                      <w:rFonts w:ascii="Times New Roman" w:eastAsia="Times New Roman" w:hAnsi="Times New Roman" w:cs="Times New Roman"/>
                      <w:sz w:val="19"/>
                      <w:szCs w:val="19"/>
                    </w:rPr>
                    <w:t>)</w:t>
                  </w:r>
                </w:p>
              </w:tc>
              <w:tc>
                <w:tcPr>
                  <w:tcW w:w="0" w:type="auto"/>
                  <w:tcBorders>
                    <w:top w:val="nil"/>
                    <w:left w:val="nil"/>
                    <w:bottom w:val="nil"/>
                    <w:right w:val="nil"/>
                  </w:tcBorders>
                  <w:vAlign w:val="center"/>
                  <w:hideMark/>
                </w:tcPr>
                <w:p w14:paraId="34367585" w14:textId="77777777" w:rsidR="00ED1831" w:rsidRPr="00ED1831" w:rsidRDefault="00ED1831" w:rsidP="00ED1831">
                  <w:pPr>
                    <w:jc w:val="right"/>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10/2022</w:t>
                  </w:r>
                </w:p>
              </w:tc>
            </w:tr>
            <w:tr w:rsidR="00ED1831" w:rsidRPr="00ED1831" w14:paraId="606DC009" w14:textId="77777777" w:rsidTr="00ED1831">
              <w:tc>
                <w:tcPr>
                  <w:tcW w:w="0" w:type="auto"/>
                  <w:tcBorders>
                    <w:top w:val="nil"/>
                    <w:left w:val="nil"/>
                    <w:bottom w:val="nil"/>
                    <w:right w:val="nil"/>
                  </w:tcBorders>
                  <w:vAlign w:val="center"/>
                  <w:hideMark/>
                </w:tcPr>
                <w:p w14:paraId="5067055E" w14:textId="77777777" w:rsidR="00ED1831" w:rsidRPr="00ED1831" w:rsidRDefault="00ED1831" w:rsidP="00ED1831">
                  <w:pPr>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Warnings and Precautions, Hypersensitivity Reactions (</w:t>
                  </w:r>
                  <w:hyperlink r:id="rId5" w:anchor="S5.1" w:history="1">
                    <w:r w:rsidRPr="00ED1831">
                      <w:rPr>
                        <w:rFonts w:ascii="Times New Roman" w:eastAsia="Times New Roman" w:hAnsi="Times New Roman" w:cs="Times New Roman"/>
                        <w:color w:val="0000FF"/>
                        <w:sz w:val="19"/>
                        <w:szCs w:val="19"/>
                        <w:u w:val="single"/>
                      </w:rPr>
                      <w:t>5.1</w:t>
                    </w:r>
                  </w:hyperlink>
                  <w:r w:rsidRPr="00ED1831">
                    <w:rPr>
                      <w:rFonts w:ascii="Times New Roman" w:eastAsia="Times New Roman" w:hAnsi="Times New Roman" w:cs="Times New Roman"/>
                      <w:sz w:val="19"/>
                      <w:szCs w:val="19"/>
                    </w:rPr>
                    <w:t>)</w:t>
                  </w:r>
                </w:p>
              </w:tc>
              <w:tc>
                <w:tcPr>
                  <w:tcW w:w="0" w:type="auto"/>
                  <w:tcBorders>
                    <w:top w:val="nil"/>
                    <w:left w:val="nil"/>
                    <w:bottom w:val="nil"/>
                    <w:right w:val="nil"/>
                  </w:tcBorders>
                  <w:vAlign w:val="center"/>
                  <w:hideMark/>
                </w:tcPr>
                <w:p w14:paraId="1B45D0F3" w14:textId="77777777" w:rsidR="00ED1831" w:rsidRPr="00ED1831" w:rsidRDefault="00ED1831" w:rsidP="00ED1831">
                  <w:pPr>
                    <w:jc w:val="right"/>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08/2023</w:t>
                  </w:r>
                </w:p>
              </w:tc>
            </w:tr>
          </w:tbl>
          <w:p w14:paraId="6D6CF73A" w14:textId="77777777" w:rsidR="00ED1831" w:rsidRPr="00ED1831" w:rsidRDefault="00ED1831" w:rsidP="00ED1831">
            <w:pPr>
              <w:ind w:left="620" w:right="620"/>
              <w:jc w:val="center"/>
              <w:outlineLvl w:val="0"/>
              <w:rPr>
                <w:rFonts w:ascii="Times New Roman" w:eastAsia="Times New Roman" w:hAnsi="Times New Roman" w:cs="Times New Roman"/>
                <w:b/>
                <w:bCs/>
                <w:kern w:val="36"/>
                <w:sz w:val="19"/>
                <w:szCs w:val="19"/>
              </w:rPr>
            </w:pPr>
            <w:r w:rsidRPr="00ED1831">
              <w:rPr>
                <w:rFonts w:ascii="Times New Roman" w:eastAsia="Times New Roman" w:hAnsi="Times New Roman" w:cs="Times New Roman"/>
                <w:b/>
                <w:bCs/>
                <w:kern w:val="36"/>
                <w:sz w:val="19"/>
                <w:szCs w:val="19"/>
                <w:shd w:val="clear" w:color="auto" w:fill="FFFFFF"/>
              </w:rPr>
              <w:t>INDICATIONS AND USAGE</w:t>
            </w:r>
          </w:p>
          <w:p w14:paraId="085563BC" w14:textId="77777777" w:rsidR="00ED1831" w:rsidRPr="00ED1831" w:rsidRDefault="00ED1831" w:rsidP="00ED1831">
            <w:pPr>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OXBRYTA is a hemoglobin S polymerization inhibitor indicated for the treatment of sickle cell disease in adults and pediatric patients 4 years of age and older.</w:t>
            </w:r>
            <w:r w:rsidRPr="00ED1831">
              <w:rPr>
                <w:rFonts w:ascii="Times New Roman" w:eastAsia="Times New Roman" w:hAnsi="Times New Roman" w:cs="Times New Roman"/>
                <w:sz w:val="19"/>
                <w:szCs w:val="19"/>
              </w:rPr>
              <w:br/>
            </w:r>
            <w:r w:rsidRPr="00ED1831">
              <w:rPr>
                <w:rFonts w:ascii="Times New Roman" w:eastAsia="Times New Roman" w:hAnsi="Times New Roman" w:cs="Times New Roman"/>
                <w:sz w:val="19"/>
                <w:szCs w:val="19"/>
              </w:rPr>
              <w:br/>
              <w:t>This indication is approved under accelerated approval based on increase in hemoglobin (Hb). Continued approval for this indication may be contingent upon verification and description of clinical benefit in confirmatory trial(s). (</w:t>
            </w:r>
            <w:hyperlink r:id="rId6" w:anchor="S1" w:history="1">
              <w:r w:rsidRPr="00ED1831">
                <w:rPr>
                  <w:rFonts w:ascii="Times New Roman" w:eastAsia="Times New Roman" w:hAnsi="Times New Roman" w:cs="Times New Roman"/>
                  <w:color w:val="0000FF"/>
                  <w:sz w:val="19"/>
                  <w:szCs w:val="19"/>
                  <w:u w:val="single"/>
                </w:rPr>
                <w:t>1</w:t>
              </w:r>
            </w:hyperlink>
            <w:r w:rsidRPr="00ED1831">
              <w:rPr>
                <w:rFonts w:ascii="Times New Roman" w:eastAsia="Times New Roman" w:hAnsi="Times New Roman" w:cs="Times New Roman"/>
                <w:sz w:val="19"/>
                <w:szCs w:val="19"/>
              </w:rPr>
              <w:t>)</w:t>
            </w:r>
          </w:p>
          <w:p w14:paraId="4EDFD9EB" w14:textId="77777777" w:rsidR="00ED1831" w:rsidRPr="00ED1831" w:rsidRDefault="00ED1831" w:rsidP="00ED1831">
            <w:pPr>
              <w:ind w:left="620" w:right="620"/>
              <w:jc w:val="center"/>
              <w:outlineLvl w:val="0"/>
              <w:rPr>
                <w:rFonts w:ascii="Times New Roman" w:eastAsia="Times New Roman" w:hAnsi="Times New Roman" w:cs="Times New Roman"/>
                <w:b/>
                <w:bCs/>
                <w:kern w:val="36"/>
                <w:sz w:val="19"/>
                <w:szCs w:val="19"/>
              </w:rPr>
            </w:pPr>
            <w:r w:rsidRPr="00ED1831">
              <w:rPr>
                <w:rFonts w:ascii="Times New Roman" w:eastAsia="Times New Roman" w:hAnsi="Times New Roman" w:cs="Times New Roman"/>
                <w:b/>
                <w:bCs/>
                <w:kern w:val="36"/>
                <w:sz w:val="19"/>
                <w:szCs w:val="19"/>
                <w:shd w:val="clear" w:color="auto" w:fill="FFFFFF"/>
              </w:rPr>
              <w:t>DOSAGE AND ADMINISTRATION</w:t>
            </w:r>
          </w:p>
          <w:p w14:paraId="7CB7F62B" w14:textId="77777777" w:rsidR="00ED1831" w:rsidRPr="00ED1831" w:rsidRDefault="00ED1831" w:rsidP="00ED1831">
            <w:pPr>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OXBRYTA can be taken with or without food. (</w:t>
            </w:r>
            <w:hyperlink r:id="rId7" w:anchor="S2.7" w:history="1">
              <w:r w:rsidRPr="00ED1831">
                <w:rPr>
                  <w:rFonts w:ascii="Times New Roman" w:eastAsia="Times New Roman" w:hAnsi="Times New Roman" w:cs="Times New Roman"/>
                  <w:color w:val="0000FF"/>
                  <w:sz w:val="19"/>
                  <w:szCs w:val="19"/>
                  <w:u w:val="single"/>
                </w:rPr>
                <w:t>2.7</w:t>
              </w:r>
            </w:hyperlink>
            <w:r w:rsidRPr="00ED1831">
              <w:rPr>
                <w:rFonts w:ascii="Times New Roman" w:eastAsia="Times New Roman" w:hAnsi="Times New Roman" w:cs="Times New Roman"/>
                <w:sz w:val="19"/>
                <w:szCs w:val="19"/>
              </w:rPr>
              <w:t>)</w:t>
            </w:r>
          </w:p>
          <w:p w14:paraId="386BBBBE" w14:textId="77777777" w:rsidR="00ED1831" w:rsidRPr="00ED1831" w:rsidRDefault="00ED1831" w:rsidP="00ED1831">
            <w:pPr>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Recommended dosage:</w:t>
            </w:r>
          </w:p>
          <w:p w14:paraId="180E4610" w14:textId="77777777" w:rsidR="00ED1831" w:rsidRPr="00ED1831" w:rsidRDefault="00ED1831" w:rsidP="00ED1831">
            <w:pPr>
              <w:ind w:left="216"/>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w:t>
            </w:r>
          </w:p>
          <w:p w14:paraId="76A285B6" w14:textId="77777777" w:rsidR="00ED1831" w:rsidRPr="00ED1831" w:rsidRDefault="00ED1831" w:rsidP="00ED1831">
            <w:pPr>
              <w:ind w:left="720"/>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Adults and pediatric patients 12 years and older: 1,500 mg orally once daily. (</w:t>
            </w:r>
            <w:hyperlink r:id="rId8" w:anchor="S2.1" w:history="1">
              <w:r w:rsidRPr="00ED1831">
                <w:rPr>
                  <w:rFonts w:ascii="Times New Roman" w:eastAsia="Times New Roman" w:hAnsi="Times New Roman" w:cs="Times New Roman"/>
                  <w:color w:val="0000FF"/>
                  <w:sz w:val="19"/>
                  <w:szCs w:val="19"/>
                  <w:u w:val="single"/>
                </w:rPr>
                <w:t>2.1</w:t>
              </w:r>
            </w:hyperlink>
            <w:r w:rsidRPr="00ED1831">
              <w:rPr>
                <w:rFonts w:ascii="Times New Roman" w:eastAsia="Times New Roman" w:hAnsi="Times New Roman" w:cs="Times New Roman"/>
                <w:sz w:val="19"/>
                <w:szCs w:val="19"/>
              </w:rPr>
              <w:t>)</w:t>
            </w:r>
          </w:p>
          <w:p w14:paraId="53F09645" w14:textId="77777777" w:rsidR="00ED1831" w:rsidRPr="00ED1831" w:rsidRDefault="00ED1831" w:rsidP="00ED1831">
            <w:pPr>
              <w:ind w:left="576"/>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w:t>
            </w:r>
          </w:p>
          <w:p w14:paraId="4FC1B859" w14:textId="77777777" w:rsidR="00ED1831" w:rsidRPr="00ED1831" w:rsidRDefault="00ED1831" w:rsidP="00ED1831">
            <w:pPr>
              <w:ind w:left="720"/>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Pediatric patients 4 to less than 12 years: Dosing with OXBRYTA is based on body weight. See </w:t>
            </w:r>
            <w:hyperlink r:id="rId9" w:anchor="_Reftable1" w:history="1">
              <w:r w:rsidRPr="00ED1831">
                <w:rPr>
                  <w:rFonts w:ascii="Times New Roman" w:eastAsia="Times New Roman" w:hAnsi="Times New Roman" w:cs="Times New Roman"/>
                  <w:color w:val="0000FF"/>
                  <w:sz w:val="19"/>
                  <w:szCs w:val="19"/>
                  <w:u w:val="single"/>
                </w:rPr>
                <w:t>Table 1</w:t>
              </w:r>
            </w:hyperlink>
            <w:r w:rsidRPr="00ED1831">
              <w:rPr>
                <w:rFonts w:ascii="Times New Roman" w:eastAsia="Times New Roman" w:hAnsi="Times New Roman" w:cs="Times New Roman"/>
                <w:sz w:val="19"/>
                <w:szCs w:val="19"/>
              </w:rPr>
              <w:t> for complete dosing recommendations. (</w:t>
            </w:r>
            <w:hyperlink r:id="rId10" w:anchor="S2.2" w:history="1">
              <w:r w:rsidRPr="00ED1831">
                <w:rPr>
                  <w:rFonts w:ascii="Times New Roman" w:eastAsia="Times New Roman" w:hAnsi="Times New Roman" w:cs="Times New Roman"/>
                  <w:color w:val="0000FF"/>
                  <w:sz w:val="19"/>
                  <w:szCs w:val="19"/>
                  <w:u w:val="single"/>
                </w:rPr>
                <w:t>2.2</w:t>
              </w:r>
            </w:hyperlink>
            <w:r w:rsidRPr="00ED1831">
              <w:rPr>
                <w:rFonts w:ascii="Times New Roman" w:eastAsia="Times New Roman" w:hAnsi="Times New Roman" w:cs="Times New Roman"/>
                <w:sz w:val="19"/>
                <w:szCs w:val="19"/>
              </w:rPr>
              <w:t>)</w:t>
            </w:r>
          </w:p>
          <w:p w14:paraId="55C9FBA8" w14:textId="77777777" w:rsidR="00ED1831" w:rsidRPr="00ED1831" w:rsidRDefault="00ED1831" w:rsidP="00ED1831">
            <w:pPr>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Recommended dosage for severe hepatic impairment (Child Pugh C):</w:t>
            </w:r>
          </w:p>
          <w:p w14:paraId="40C84741" w14:textId="77777777" w:rsidR="00ED1831" w:rsidRPr="00ED1831" w:rsidRDefault="00ED1831" w:rsidP="00ED1831">
            <w:pPr>
              <w:ind w:left="216"/>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w:t>
            </w:r>
          </w:p>
          <w:p w14:paraId="5E625FAE" w14:textId="77777777" w:rsidR="00ED1831" w:rsidRPr="00ED1831" w:rsidRDefault="00ED1831" w:rsidP="00ED1831">
            <w:pPr>
              <w:ind w:left="720"/>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Adults and pediatric patients 12 years and older: 1,000 mg orally once daily. (</w:t>
            </w:r>
            <w:hyperlink r:id="rId11" w:anchor="S2.3" w:history="1">
              <w:r w:rsidRPr="00ED1831">
                <w:rPr>
                  <w:rFonts w:ascii="Times New Roman" w:eastAsia="Times New Roman" w:hAnsi="Times New Roman" w:cs="Times New Roman"/>
                  <w:color w:val="0000FF"/>
                  <w:sz w:val="19"/>
                  <w:szCs w:val="19"/>
                  <w:u w:val="single"/>
                </w:rPr>
                <w:t>2.3</w:t>
              </w:r>
            </w:hyperlink>
            <w:r w:rsidRPr="00ED1831">
              <w:rPr>
                <w:rFonts w:ascii="Times New Roman" w:eastAsia="Times New Roman" w:hAnsi="Times New Roman" w:cs="Times New Roman"/>
                <w:sz w:val="19"/>
                <w:szCs w:val="19"/>
              </w:rPr>
              <w:t>)</w:t>
            </w:r>
          </w:p>
          <w:p w14:paraId="7EFD7298" w14:textId="77777777" w:rsidR="00ED1831" w:rsidRPr="00ED1831" w:rsidRDefault="00ED1831" w:rsidP="00ED1831">
            <w:pPr>
              <w:ind w:left="576"/>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w:t>
            </w:r>
          </w:p>
          <w:p w14:paraId="5C222FFF" w14:textId="77777777" w:rsidR="00ED1831" w:rsidRPr="00ED1831" w:rsidRDefault="00ED1831" w:rsidP="00ED1831">
            <w:pPr>
              <w:ind w:left="720"/>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Pediatric patients 4 to less than 12 years: Reduce the dose of OXBRYTA based on body weight. See </w:t>
            </w:r>
            <w:hyperlink r:id="rId12" w:anchor="_Reftable2" w:history="1">
              <w:r w:rsidRPr="00ED1831">
                <w:rPr>
                  <w:rFonts w:ascii="Times New Roman" w:eastAsia="Times New Roman" w:hAnsi="Times New Roman" w:cs="Times New Roman"/>
                  <w:color w:val="0000FF"/>
                  <w:sz w:val="19"/>
                  <w:szCs w:val="19"/>
                  <w:u w:val="single"/>
                </w:rPr>
                <w:t>Table 2</w:t>
              </w:r>
            </w:hyperlink>
            <w:r w:rsidRPr="00ED1831">
              <w:rPr>
                <w:rFonts w:ascii="Times New Roman" w:eastAsia="Times New Roman" w:hAnsi="Times New Roman" w:cs="Times New Roman"/>
                <w:sz w:val="19"/>
                <w:szCs w:val="19"/>
              </w:rPr>
              <w:t> for complete dosing recommendations. (</w:t>
            </w:r>
            <w:hyperlink r:id="rId13" w:anchor="S2.4" w:history="1">
              <w:r w:rsidRPr="00ED1831">
                <w:rPr>
                  <w:rFonts w:ascii="Times New Roman" w:eastAsia="Times New Roman" w:hAnsi="Times New Roman" w:cs="Times New Roman"/>
                  <w:color w:val="0000FF"/>
                  <w:sz w:val="19"/>
                  <w:szCs w:val="19"/>
                  <w:u w:val="single"/>
                </w:rPr>
                <w:t>2.4</w:t>
              </w:r>
            </w:hyperlink>
            <w:r w:rsidRPr="00ED1831">
              <w:rPr>
                <w:rFonts w:ascii="Times New Roman" w:eastAsia="Times New Roman" w:hAnsi="Times New Roman" w:cs="Times New Roman"/>
                <w:sz w:val="19"/>
                <w:szCs w:val="19"/>
              </w:rPr>
              <w:t>)</w:t>
            </w:r>
          </w:p>
          <w:p w14:paraId="2698305E" w14:textId="77777777" w:rsidR="00ED1831" w:rsidRPr="00ED1831" w:rsidRDefault="00ED1831" w:rsidP="00ED1831">
            <w:pPr>
              <w:ind w:left="620" w:right="620"/>
              <w:jc w:val="center"/>
              <w:outlineLvl w:val="0"/>
              <w:rPr>
                <w:rFonts w:ascii="Times New Roman" w:eastAsia="Times New Roman" w:hAnsi="Times New Roman" w:cs="Times New Roman"/>
                <w:b/>
                <w:bCs/>
                <w:kern w:val="36"/>
                <w:sz w:val="19"/>
                <w:szCs w:val="19"/>
              </w:rPr>
            </w:pPr>
            <w:r w:rsidRPr="00ED1831">
              <w:rPr>
                <w:rFonts w:ascii="Times New Roman" w:eastAsia="Times New Roman" w:hAnsi="Times New Roman" w:cs="Times New Roman"/>
                <w:b/>
                <w:bCs/>
                <w:kern w:val="36"/>
                <w:sz w:val="19"/>
                <w:szCs w:val="19"/>
                <w:shd w:val="clear" w:color="auto" w:fill="FFFFFF"/>
              </w:rPr>
              <w:t>DOSAGE FORMS AND STRENGTHS</w:t>
            </w:r>
          </w:p>
          <w:p w14:paraId="37843AC0" w14:textId="77777777" w:rsidR="00ED1831" w:rsidRPr="00ED1831" w:rsidRDefault="00ED1831" w:rsidP="00ED1831">
            <w:pPr>
              <w:ind w:left="216"/>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w:t>
            </w:r>
          </w:p>
          <w:p w14:paraId="66CE9EDB" w14:textId="77777777" w:rsidR="00ED1831" w:rsidRPr="00ED1831" w:rsidRDefault="00ED1831" w:rsidP="00ED1831">
            <w:pPr>
              <w:ind w:left="720"/>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Tablets: 300 mg and 500 mg (</w:t>
            </w:r>
            <w:hyperlink r:id="rId14" w:anchor="S3" w:history="1">
              <w:r w:rsidRPr="00ED1831">
                <w:rPr>
                  <w:rFonts w:ascii="Times New Roman" w:eastAsia="Times New Roman" w:hAnsi="Times New Roman" w:cs="Times New Roman"/>
                  <w:color w:val="0000FF"/>
                  <w:sz w:val="19"/>
                  <w:szCs w:val="19"/>
                  <w:u w:val="single"/>
                </w:rPr>
                <w:t>3</w:t>
              </w:r>
            </w:hyperlink>
            <w:r w:rsidRPr="00ED1831">
              <w:rPr>
                <w:rFonts w:ascii="Times New Roman" w:eastAsia="Times New Roman" w:hAnsi="Times New Roman" w:cs="Times New Roman"/>
                <w:sz w:val="19"/>
                <w:szCs w:val="19"/>
              </w:rPr>
              <w:t>)</w:t>
            </w:r>
          </w:p>
          <w:p w14:paraId="1FB11FDC" w14:textId="77777777" w:rsidR="00ED1831" w:rsidRPr="00ED1831" w:rsidRDefault="00ED1831" w:rsidP="00ED1831">
            <w:pPr>
              <w:ind w:left="576"/>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w:t>
            </w:r>
          </w:p>
          <w:p w14:paraId="69200EC4" w14:textId="77777777" w:rsidR="00ED1831" w:rsidRPr="00ED1831" w:rsidRDefault="00ED1831" w:rsidP="00ED1831">
            <w:pPr>
              <w:ind w:left="720"/>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Tablets for oral suspension: 300 mg (</w:t>
            </w:r>
            <w:hyperlink r:id="rId15" w:anchor="S3" w:history="1">
              <w:r w:rsidRPr="00ED1831">
                <w:rPr>
                  <w:rFonts w:ascii="Times New Roman" w:eastAsia="Times New Roman" w:hAnsi="Times New Roman" w:cs="Times New Roman"/>
                  <w:color w:val="0000FF"/>
                  <w:sz w:val="19"/>
                  <w:szCs w:val="19"/>
                  <w:u w:val="single"/>
                </w:rPr>
                <w:t>3</w:t>
              </w:r>
            </w:hyperlink>
            <w:r w:rsidRPr="00ED1831">
              <w:rPr>
                <w:rFonts w:ascii="Times New Roman" w:eastAsia="Times New Roman" w:hAnsi="Times New Roman" w:cs="Times New Roman"/>
                <w:sz w:val="19"/>
                <w:szCs w:val="19"/>
              </w:rPr>
              <w:t>)</w:t>
            </w:r>
          </w:p>
          <w:p w14:paraId="0DE358DC" w14:textId="77777777" w:rsidR="00ED1831" w:rsidRPr="00ED1831" w:rsidRDefault="00ED1831" w:rsidP="00ED1831">
            <w:pPr>
              <w:ind w:left="620" w:right="620"/>
              <w:jc w:val="center"/>
              <w:outlineLvl w:val="0"/>
              <w:rPr>
                <w:rFonts w:ascii="Times New Roman" w:eastAsia="Times New Roman" w:hAnsi="Times New Roman" w:cs="Times New Roman"/>
                <w:b/>
                <w:bCs/>
                <w:kern w:val="36"/>
                <w:sz w:val="19"/>
                <w:szCs w:val="19"/>
              </w:rPr>
            </w:pPr>
            <w:r w:rsidRPr="00ED1831">
              <w:rPr>
                <w:rFonts w:ascii="Times New Roman" w:eastAsia="Times New Roman" w:hAnsi="Times New Roman" w:cs="Times New Roman"/>
                <w:b/>
                <w:bCs/>
                <w:kern w:val="36"/>
                <w:sz w:val="19"/>
                <w:szCs w:val="19"/>
                <w:shd w:val="clear" w:color="auto" w:fill="FFFFFF"/>
              </w:rPr>
              <w:t>CONTRAINDICATIONS</w:t>
            </w:r>
          </w:p>
          <w:p w14:paraId="65D4B9B9" w14:textId="77777777" w:rsidR="00ED1831" w:rsidRPr="00ED1831" w:rsidRDefault="00ED1831" w:rsidP="00ED1831">
            <w:pPr>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 xml:space="preserve">Prior drug hypersensitivity to </w:t>
            </w:r>
            <w:proofErr w:type="spellStart"/>
            <w:r w:rsidRPr="00ED1831">
              <w:rPr>
                <w:rFonts w:ascii="Times New Roman" w:eastAsia="Times New Roman" w:hAnsi="Times New Roman" w:cs="Times New Roman"/>
                <w:sz w:val="19"/>
                <w:szCs w:val="19"/>
              </w:rPr>
              <w:t>voxelotor</w:t>
            </w:r>
            <w:proofErr w:type="spellEnd"/>
            <w:r w:rsidRPr="00ED1831">
              <w:rPr>
                <w:rFonts w:ascii="Times New Roman" w:eastAsia="Times New Roman" w:hAnsi="Times New Roman" w:cs="Times New Roman"/>
                <w:sz w:val="19"/>
                <w:szCs w:val="19"/>
              </w:rPr>
              <w:t xml:space="preserve"> or excipients. (</w:t>
            </w:r>
            <w:hyperlink r:id="rId16" w:anchor="S4" w:history="1">
              <w:r w:rsidRPr="00ED1831">
                <w:rPr>
                  <w:rFonts w:ascii="Times New Roman" w:eastAsia="Times New Roman" w:hAnsi="Times New Roman" w:cs="Times New Roman"/>
                  <w:color w:val="0000FF"/>
                  <w:sz w:val="19"/>
                  <w:szCs w:val="19"/>
                  <w:u w:val="single"/>
                </w:rPr>
                <w:t>4</w:t>
              </w:r>
            </w:hyperlink>
            <w:r w:rsidRPr="00ED1831">
              <w:rPr>
                <w:rFonts w:ascii="Times New Roman" w:eastAsia="Times New Roman" w:hAnsi="Times New Roman" w:cs="Times New Roman"/>
                <w:sz w:val="19"/>
                <w:szCs w:val="19"/>
              </w:rPr>
              <w:t>)</w:t>
            </w:r>
          </w:p>
          <w:p w14:paraId="2CE5EB30" w14:textId="77777777" w:rsidR="00ED1831" w:rsidRPr="00ED1831" w:rsidRDefault="00ED1831" w:rsidP="00ED1831">
            <w:pPr>
              <w:ind w:left="620" w:right="620"/>
              <w:jc w:val="center"/>
              <w:outlineLvl w:val="0"/>
              <w:rPr>
                <w:rFonts w:ascii="Times New Roman" w:eastAsia="Times New Roman" w:hAnsi="Times New Roman" w:cs="Times New Roman"/>
                <w:b/>
                <w:bCs/>
                <w:kern w:val="36"/>
                <w:sz w:val="19"/>
                <w:szCs w:val="19"/>
              </w:rPr>
            </w:pPr>
            <w:r w:rsidRPr="00ED1831">
              <w:rPr>
                <w:rFonts w:ascii="Times New Roman" w:eastAsia="Times New Roman" w:hAnsi="Times New Roman" w:cs="Times New Roman"/>
                <w:b/>
                <w:bCs/>
                <w:kern w:val="36"/>
                <w:sz w:val="19"/>
                <w:szCs w:val="19"/>
                <w:shd w:val="clear" w:color="auto" w:fill="FFFFFF"/>
              </w:rPr>
              <w:t>WARNINGS AND PRECAUTIONS</w:t>
            </w:r>
          </w:p>
          <w:p w14:paraId="0B7C6962" w14:textId="77777777" w:rsidR="00ED1831" w:rsidRPr="00ED1831" w:rsidRDefault="00ED1831" w:rsidP="00ED1831">
            <w:pPr>
              <w:ind w:left="216"/>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w:t>
            </w:r>
          </w:p>
          <w:p w14:paraId="3EE37904" w14:textId="77777777" w:rsidR="00ED1831" w:rsidRPr="00ED1831" w:rsidRDefault="00ED1831" w:rsidP="00ED1831">
            <w:pPr>
              <w:ind w:left="720"/>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Hypersensitivity Reactions: Observe for signs and symptoms and manage promptly. (</w:t>
            </w:r>
            <w:hyperlink r:id="rId17" w:anchor="S5.1" w:history="1">
              <w:r w:rsidRPr="00ED1831">
                <w:rPr>
                  <w:rFonts w:ascii="Times New Roman" w:eastAsia="Times New Roman" w:hAnsi="Times New Roman" w:cs="Times New Roman"/>
                  <w:color w:val="0000FF"/>
                  <w:sz w:val="19"/>
                  <w:szCs w:val="19"/>
                  <w:u w:val="single"/>
                </w:rPr>
                <w:t>5.1</w:t>
              </w:r>
            </w:hyperlink>
            <w:r w:rsidRPr="00ED1831">
              <w:rPr>
                <w:rFonts w:ascii="Times New Roman" w:eastAsia="Times New Roman" w:hAnsi="Times New Roman" w:cs="Times New Roman"/>
                <w:sz w:val="19"/>
                <w:szCs w:val="19"/>
              </w:rPr>
              <w:t>)</w:t>
            </w:r>
          </w:p>
          <w:p w14:paraId="37A672EF" w14:textId="77777777" w:rsidR="00ED1831" w:rsidRPr="00ED1831" w:rsidRDefault="00ED1831" w:rsidP="00ED1831">
            <w:pPr>
              <w:ind w:left="576"/>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w:t>
            </w:r>
          </w:p>
          <w:p w14:paraId="0794048F" w14:textId="77777777" w:rsidR="00ED1831" w:rsidRPr="00ED1831" w:rsidRDefault="00ED1831" w:rsidP="00ED1831">
            <w:pPr>
              <w:ind w:left="720"/>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Laboratory Test Interference: Perform quantification of hemoglobin species when patient is not receiving OXBRYTA. (</w:t>
            </w:r>
            <w:hyperlink r:id="rId18" w:anchor="S5.2" w:history="1">
              <w:r w:rsidRPr="00ED1831">
                <w:rPr>
                  <w:rFonts w:ascii="Times New Roman" w:eastAsia="Times New Roman" w:hAnsi="Times New Roman" w:cs="Times New Roman"/>
                  <w:color w:val="0000FF"/>
                  <w:sz w:val="19"/>
                  <w:szCs w:val="19"/>
                  <w:u w:val="single"/>
                </w:rPr>
                <w:t>5.2</w:t>
              </w:r>
            </w:hyperlink>
            <w:r w:rsidRPr="00ED1831">
              <w:rPr>
                <w:rFonts w:ascii="Times New Roman" w:eastAsia="Times New Roman" w:hAnsi="Times New Roman" w:cs="Times New Roman"/>
                <w:sz w:val="19"/>
                <w:szCs w:val="19"/>
              </w:rPr>
              <w:t>)</w:t>
            </w:r>
          </w:p>
          <w:p w14:paraId="547F8B3C" w14:textId="77777777" w:rsidR="00ED1831" w:rsidRPr="00ED1831" w:rsidRDefault="00ED1831" w:rsidP="00ED1831">
            <w:pPr>
              <w:ind w:left="620" w:right="620"/>
              <w:jc w:val="center"/>
              <w:outlineLvl w:val="0"/>
              <w:rPr>
                <w:rFonts w:ascii="Times New Roman" w:eastAsia="Times New Roman" w:hAnsi="Times New Roman" w:cs="Times New Roman"/>
                <w:b/>
                <w:bCs/>
                <w:kern w:val="36"/>
                <w:sz w:val="19"/>
                <w:szCs w:val="19"/>
              </w:rPr>
            </w:pPr>
            <w:r w:rsidRPr="00ED1831">
              <w:rPr>
                <w:rFonts w:ascii="Times New Roman" w:eastAsia="Times New Roman" w:hAnsi="Times New Roman" w:cs="Times New Roman"/>
                <w:b/>
                <w:bCs/>
                <w:kern w:val="36"/>
                <w:sz w:val="19"/>
                <w:szCs w:val="19"/>
                <w:shd w:val="clear" w:color="auto" w:fill="FFFFFF"/>
              </w:rPr>
              <w:t>ADVERSE REACTIONS</w:t>
            </w:r>
          </w:p>
          <w:p w14:paraId="3C0D59DC" w14:textId="77777777" w:rsidR="00ED1831" w:rsidRPr="00ED1831" w:rsidRDefault="00ED1831" w:rsidP="00ED1831">
            <w:pPr>
              <w:spacing w:after="240"/>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Most common adverse reactions (incidence ≥10% with a difference of &gt;3% compared to placebo) are headache, diarrhea, abdominal pain, nausea, rash, and pyrexia. (</w:t>
            </w:r>
            <w:hyperlink r:id="rId19" w:anchor="S6.1" w:history="1">
              <w:r w:rsidRPr="00ED1831">
                <w:rPr>
                  <w:rFonts w:ascii="Times New Roman" w:eastAsia="Times New Roman" w:hAnsi="Times New Roman" w:cs="Times New Roman"/>
                  <w:color w:val="0000FF"/>
                  <w:sz w:val="19"/>
                  <w:szCs w:val="19"/>
                  <w:u w:val="single"/>
                </w:rPr>
                <w:t>6.1</w:t>
              </w:r>
            </w:hyperlink>
            <w:r w:rsidRPr="00ED1831">
              <w:rPr>
                <w:rFonts w:ascii="Times New Roman" w:eastAsia="Times New Roman" w:hAnsi="Times New Roman" w:cs="Times New Roman"/>
                <w:sz w:val="19"/>
                <w:szCs w:val="19"/>
              </w:rPr>
              <w:t>)</w:t>
            </w:r>
            <w:r w:rsidRPr="00ED1831">
              <w:rPr>
                <w:rFonts w:ascii="Times New Roman" w:eastAsia="Times New Roman" w:hAnsi="Times New Roman" w:cs="Times New Roman"/>
                <w:sz w:val="19"/>
                <w:szCs w:val="19"/>
              </w:rPr>
              <w:br/>
            </w:r>
            <w:r w:rsidRPr="00ED1831">
              <w:rPr>
                <w:rFonts w:ascii="Times New Roman" w:eastAsia="Times New Roman" w:hAnsi="Times New Roman" w:cs="Times New Roman"/>
                <w:sz w:val="19"/>
                <w:szCs w:val="19"/>
              </w:rPr>
              <w:br/>
              <w:t>Most common adverse reactions (incidence &gt;10%) reported in pediatric patients 4 to &lt;12 years are pyrexia, vomiting, rash, abdominal pain, diarrhea, and headache. (</w:t>
            </w:r>
            <w:hyperlink r:id="rId20" w:anchor="S6.1" w:history="1">
              <w:r w:rsidRPr="00ED1831">
                <w:rPr>
                  <w:rFonts w:ascii="Times New Roman" w:eastAsia="Times New Roman" w:hAnsi="Times New Roman" w:cs="Times New Roman"/>
                  <w:color w:val="0000FF"/>
                  <w:sz w:val="19"/>
                  <w:szCs w:val="19"/>
                  <w:u w:val="single"/>
                </w:rPr>
                <w:t>6.1</w:t>
              </w:r>
            </w:hyperlink>
            <w:r w:rsidRPr="00ED1831">
              <w:rPr>
                <w:rFonts w:ascii="Times New Roman" w:eastAsia="Times New Roman" w:hAnsi="Times New Roman" w:cs="Times New Roman"/>
                <w:sz w:val="19"/>
                <w:szCs w:val="19"/>
              </w:rPr>
              <w:t>)</w:t>
            </w:r>
          </w:p>
          <w:p w14:paraId="673D1753" w14:textId="77777777" w:rsidR="00ED1831" w:rsidRPr="00ED1831" w:rsidRDefault="00ED1831" w:rsidP="00ED1831">
            <w:pPr>
              <w:rPr>
                <w:rFonts w:ascii="Times New Roman" w:eastAsia="Times New Roman" w:hAnsi="Times New Roman" w:cs="Times New Roman"/>
                <w:sz w:val="19"/>
                <w:szCs w:val="19"/>
              </w:rPr>
            </w:pPr>
            <w:r w:rsidRPr="00ED1831">
              <w:rPr>
                <w:rFonts w:ascii="Times New Roman" w:eastAsia="Times New Roman" w:hAnsi="Times New Roman" w:cs="Times New Roman"/>
                <w:b/>
                <w:bCs/>
                <w:sz w:val="19"/>
                <w:szCs w:val="19"/>
              </w:rPr>
              <w:t>To report SUSPECTED ADVERSE REACTIONS, contact Pfizer Inc. at 1-800-438-1985 or FDA at 1-800-FDA-1088 or </w:t>
            </w:r>
            <w:hyperlink r:id="rId21" w:history="1">
              <w:r w:rsidRPr="00ED1831">
                <w:rPr>
                  <w:rFonts w:ascii="Times New Roman" w:eastAsia="Times New Roman" w:hAnsi="Times New Roman" w:cs="Times New Roman"/>
                  <w:b/>
                  <w:bCs/>
                  <w:color w:val="0000FF"/>
                  <w:sz w:val="19"/>
                  <w:szCs w:val="19"/>
                  <w:u w:val="single"/>
                </w:rPr>
                <w:t>www.fda.gov/medwatch</w:t>
              </w:r>
            </w:hyperlink>
            <w:r w:rsidRPr="00ED1831">
              <w:rPr>
                <w:rFonts w:ascii="Times New Roman" w:eastAsia="Times New Roman" w:hAnsi="Times New Roman" w:cs="Times New Roman"/>
                <w:b/>
                <w:bCs/>
                <w:sz w:val="19"/>
                <w:szCs w:val="19"/>
              </w:rPr>
              <w:t>.</w:t>
            </w:r>
          </w:p>
          <w:p w14:paraId="2DB4B327" w14:textId="77777777" w:rsidR="00ED1831" w:rsidRPr="00ED1831" w:rsidRDefault="00ED1831" w:rsidP="00ED1831">
            <w:pPr>
              <w:ind w:left="620" w:right="620"/>
              <w:jc w:val="center"/>
              <w:outlineLvl w:val="0"/>
              <w:rPr>
                <w:rFonts w:ascii="Times New Roman" w:eastAsia="Times New Roman" w:hAnsi="Times New Roman" w:cs="Times New Roman"/>
                <w:b/>
                <w:bCs/>
                <w:kern w:val="36"/>
                <w:sz w:val="19"/>
                <w:szCs w:val="19"/>
              </w:rPr>
            </w:pPr>
            <w:r w:rsidRPr="00ED1831">
              <w:rPr>
                <w:rFonts w:ascii="Times New Roman" w:eastAsia="Times New Roman" w:hAnsi="Times New Roman" w:cs="Times New Roman"/>
                <w:b/>
                <w:bCs/>
                <w:kern w:val="36"/>
                <w:sz w:val="19"/>
                <w:szCs w:val="19"/>
                <w:shd w:val="clear" w:color="auto" w:fill="FFFFFF"/>
              </w:rPr>
              <w:lastRenderedPageBreak/>
              <w:t>DRUG INTERACTIONS</w:t>
            </w:r>
          </w:p>
          <w:p w14:paraId="0849BD82" w14:textId="77777777" w:rsidR="00ED1831" w:rsidRPr="00ED1831" w:rsidRDefault="00ED1831" w:rsidP="00ED1831">
            <w:pPr>
              <w:ind w:left="216"/>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w:t>
            </w:r>
          </w:p>
          <w:p w14:paraId="0FF7CBA4" w14:textId="77777777" w:rsidR="00ED1831" w:rsidRPr="00ED1831" w:rsidRDefault="00ED1831" w:rsidP="00ED1831">
            <w:pPr>
              <w:ind w:left="720"/>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Sensitive CYP3A4 Substrates: Avoid coadministration of sensitive CYP3A4 substrates with a narrow therapeutic index. (</w:t>
            </w:r>
            <w:hyperlink r:id="rId22" w:anchor="S7.2" w:history="1">
              <w:r w:rsidRPr="00ED1831">
                <w:rPr>
                  <w:rFonts w:ascii="Times New Roman" w:eastAsia="Times New Roman" w:hAnsi="Times New Roman" w:cs="Times New Roman"/>
                  <w:color w:val="0000FF"/>
                  <w:sz w:val="19"/>
                  <w:szCs w:val="19"/>
                  <w:u w:val="single"/>
                </w:rPr>
                <w:t>7.2</w:t>
              </w:r>
            </w:hyperlink>
            <w:r w:rsidRPr="00ED1831">
              <w:rPr>
                <w:rFonts w:ascii="Times New Roman" w:eastAsia="Times New Roman" w:hAnsi="Times New Roman" w:cs="Times New Roman"/>
                <w:sz w:val="19"/>
                <w:szCs w:val="19"/>
              </w:rPr>
              <w:t>)</w:t>
            </w:r>
          </w:p>
          <w:p w14:paraId="304C1AE3" w14:textId="77777777" w:rsidR="00ED1831" w:rsidRPr="00ED1831" w:rsidRDefault="00ED1831" w:rsidP="00ED1831">
            <w:pPr>
              <w:ind w:left="576"/>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w:t>
            </w:r>
          </w:p>
          <w:p w14:paraId="72B034CD" w14:textId="77777777" w:rsidR="00ED1831" w:rsidRPr="00ED1831" w:rsidRDefault="00ED1831" w:rsidP="00ED1831">
            <w:pPr>
              <w:ind w:left="720"/>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Strong or moderate CYP3A4 Inducers: Avoid coadministration with strong or moderate CYP3A4 inducers. If unavoidable, increase the dose of OXBRYTA. (</w:t>
            </w:r>
            <w:hyperlink r:id="rId23" w:anchor="S2.5" w:history="1">
              <w:r w:rsidRPr="00ED1831">
                <w:rPr>
                  <w:rFonts w:ascii="Times New Roman" w:eastAsia="Times New Roman" w:hAnsi="Times New Roman" w:cs="Times New Roman"/>
                  <w:color w:val="0000FF"/>
                  <w:sz w:val="19"/>
                  <w:szCs w:val="19"/>
                  <w:u w:val="single"/>
                </w:rPr>
                <w:t>2.5</w:t>
              </w:r>
            </w:hyperlink>
            <w:r w:rsidRPr="00ED1831">
              <w:rPr>
                <w:rFonts w:ascii="Times New Roman" w:eastAsia="Times New Roman" w:hAnsi="Times New Roman" w:cs="Times New Roman"/>
                <w:sz w:val="19"/>
                <w:szCs w:val="19"/>
              </w:rPr>
              <w:t>, </w:t>
            </w:r>
            <w:hyperlink r:id="rId24" w:anchor="S2.6" w:history="1">
              <w:r w:rsidRPr="00ED1831">
                <w:rPr>
                  <w:rFonts w:ascii="Times New Roman" w:eastAsia="Times New Roman" w:hAnsi="Times New Roman" w:cs="Times New Roman"/>
                  <w:color w:val="0000FF"/>
                  <w:sz w:val="19"/>
                  <w:szCs w:val="19"/>
                  <w:u w:val="single"/>
                </w:rPr>
                <w:t>2.6</w:t>
              </w:r>
            </w:hyperlink>
            <w:r w:rsidRPr="00ED1831">
              <w:rPr>
                <w:rFonts w:ascii="Times New Roman" w:eastAsia="Times New Roman" w:hAnsi="Times New Roman" w:cs="Times New Roman"/>
                <w:sz w:val="19"/>
                <w:szCs w:val="19"/>
              </w:rPr>
              <w:t>, </w:t>
            </w:r>
            <w:hyperlink r:id="rId25" w:anchor="S7.1" w:history="1">
              <w:r w:rsidRPr="00ED1831">
                <w:rPr>
                  <w:rFonts w:ascii="Times New Roman" w:eastAsia="Times New Roman" w:hAnsi="Times New Roman" w:cs="Times New Roman"/>
                  <w:color w:val="0000FF"/>
                  <w:sz w:val="19"/>
                  <w:szCs w:val="19"/>
                  <w:u w:val="single"/>
                </w:rPr>
                <w:t>7.1</w:t>
              </w:r>
            </w:hyperlink>
            <w:r w:rsidRPr="00ED1831">
              <w:rPr>
                <w:rFonts w:ascii="Times New Roman" w:eastAsia="Times New Roman" w:hAnsi="Times New Roman" w:cs="Times New Roman"/>
                <w:sz w:val="19"/>
                <w:szCs w:val="19"/>
              </w:rPr>
              <w:t>)</w:t>
            </w:r>
          </w:p>
          <w:p w14:paraId="6CE6A178" w14:textId="77777777" w:rsidR="00ED1831" w:rsidRPr="00ED1831" w:rsidRDefault="00ED1831" w:rsidP="00ED1831">
            <w:pPr>
              <w:ind w:left="620" w:right="620"/>
              <w:jc w:val="center"/>
              <w:outlineLvl w:val="0"/>
              <w:rPr>
                <w:rFonts w:ascii="Times New Roman" w:eastAsia="Times New Roman" w:hAnsi="Times New Roman" w:cs="Times New Roman"/>
                <w:b/>
                <w:bCs/>
                <w:kern w:val="36"/>
                <w:sz w:val="19"/>
                <w:szCs w:val="19"/>
              </w:rPr>
            </w:pPr>
            <w:r w:rsidRPr="00ED1831">
              <w:rPr>
                <w:rFonts w:ascii="Times New Roman" w:eastAsia="Times New Roman" w:hAnsi="Times New Roman" w:cs="Times New Roman"/>
                <w:b/>
                <w:bCs/>
                <w:kern w:val="36"/>
                <w:sz w:val="19"/>
                <w:szCs w:val="19"/>
                <w:shd w:val="clear" w:color="auto" w:fill="FFFFFF"/>
              </w:rPr>
              <w:t>USE IN SPECIFIC POPULATIONS</w:t>
            </w:r>
          </w:p>
          <w:p w14:paraId="66CD6251" w14:textId="77777777" w:rsidR="00ED1831" w:rsidRPr="00ED1831" w:rsidRDefault="00ED1831" w:rsidP="00ED1831">
            <w:pPr>
              <w:spacing w:after="240"/>
              <w:rPr>
                <w:rFonts w:ascii="Times New Roman" w:eastAsia="Times New Roman" w:hAnsi="Times New Roman" w:cs="Times New Roman"/>
                <w:sz w:val="19"/>
                <w:szCs w:val="19"/>
              </w:rPr>
            </w:pPr>
            <w:r w:rsidRPr="00ED1831">
              <w:rPr>
                <w:rFonts w:ascii="Times New Roman" w:eastAsia="Times New Roman" w:hAnsi="Times New Roman" w:cs="Times New Roman"/>
                <w:sz w:val="19"/>
                <w:szCs w:val="19"/>
              </w:rPr>
              <w:t>Lactation: Advise not to breastfeed. (</w:t>
            </w:r>
            <w:hyperlink r:id="rId26" w:anchor="S8.2" w:history="1">
              <w:r w:rsidRPr="00ED1831">
                <w:rPr>
                  <w:rFonts w:ascii="Times New Roman" w:eastAsia="Times New Roman" w:hAnsi="Times New Roman" w:cs="Times New Roman"/>
                  <w:color w:val="0000FF"/>
                  <w:sz w:val="19"/>
                  <w:szCs w:val="19"/>
                  <w:u w:val="single"/>
                </w:rPr>
                <w:t>8.2</w:t>
              </w:r>
            </w:hyperlink>
            <w:r w:rsidRPr="00ED1831">
              <w:rPr>
                <w:rFonts w:ascii="Times New Roman" w:eastAsia="Times New Roman" w:hAnsi="Times New Roman" w:cs="Times New Roman"/>
                <w:sz w:val="19"/>
                <w:szCs w:val="19"/>
              </w:rPr>
              <w:t>)</w:t>
            </w:r>
          </w:p>
          <w:p w14:paraId="7041A2A7" w14:textId="77777777" w:rsidR="00ED1831" w:rsidRPr="00ED1831" w:rsidRDefault="00ED1831" w:rsidP="00ED1831">
            <w:pPr>
              <w:rPr>
                <w:rFonts w:ascii="Times New Roman" w:eastAsia="Times New Roman" w:hAnsi="Times New Roman" w:cs="Times New Roman"/>
                <w:b/>
                <w:bCs/>
                <w:sz w:val="19"/>
                <w:szCs w:val="19"/>
              </w:rPr>
            </w:pPr>
            <w:r w:rsidRPr="00ED1831">
              <w:rPr>
                <w:rFonts w:ascii="Times New Roman" w:eastAsia="Times New Roman" w:hAnsi="Times New Roman" w:cs="Times New Roman"/>
                <w:b/>
                <w:bCs/>
                <w:sz w:val="19"/>
                <w:szCs w:val="19"/>
              </w:rPr>
              <w:t>See 17 for PATIENT COUNSELING INFORMATION and FDA-approved patient labeling.</w:t>
            </w:r>
          </w:p>
          <w:p w14:paraId="2109C9B8" w14:textId="77777777" w:rsidR="00ED1831" w:rsidRPr="00ED1831" w:rsidRDefault="00ED1831" w:rsidP="00ED1831">
            <w:pPr>
              <w:spacing w:after="120"/>
              <w:jc w:val="right"/>
              <w:rPr>
                <w:rFonts w:ascii="Times New Roman" w:eastAsia="Times New Roman" w:hAnsi="Times New Roman" w:cs="Times New Roman"/>
                <w:b/>
                <w:bCs/>
                <w:sz w:val="19"/>
                <w:szCs w:val="19"/>
              </w:rPr>
            </w:pPr>
            <w:r w:rsidRPr="00ED1831">
              <w:rPr>
                <w:rFonts w:ascii="Times New Roman" w:eastAsia="Times New Roman" w:hAnsi="Times New Roman" w:cs="Times New Roman"/>
                <w:b/>
                <w:bCs/>
                <w:sz w:val="19"/>
                <w:szCs w:val="19"/>
              </w:rPr>
              <w:t>Revised: 8/2023</w:t>
            </w:r>
          </w:p>
        </w:tc>
      </w:tr>
      <w:tr w:rsidR="00ED1831" w:rsidRPr="00ED1831" w14:paraId="21277CFF" w14:textId="77777777" w:rsidTr="00ED1831">
        <w:tc>
          <w:tcPr>
            <w:tcW w:w="2500" w:type="pct"/>
            <w:tcBorders>
              <w:top w:val="nil"/>
              <w:left w:val="nil"/>
              <w:bottom w:val="nil"/>
              <w:right w:val="nil"/>
            </w:tcBorders>
            <w:hideMark/>
          </w:tcPr>
          <w:p w14:paraId="17FDEEC0" w14:textId="77777777" w:rsidR="00ED1831" w:rsidRPr="00ED1831" w:rsidRDefault="00ED1831" w:rsidP="00ED1831">
            <w:pPr>
              <w:rPr>
                <w:rFonts w:ascii="Times New Roman" w:eastAsia="Times New Roman" w:hAnsi="Times New Roman" w:cs="Times New Roman"/>
                <w:color w:val="000000"/>
                <w:sz w:val="19"/>
                <w:szCs w:val="19"/>
              </w:rPr>
            </w:pPr>
          </w:p>
        </w:tc>
        <w:tc>
          <w:tcPr>
            <w:tcW w:w="2500" w:type="pct"/>
            <w:tcBorders>
              <w:top w:val="nil"/>
              <w:left w:val="nil"/>
              <w:bottom w:val="nil"/>
              <w:right w:val="nil"/>
            </w:tcBorders>
            <w:hideMark/>
          </w:tcPr>
          <w:p w14:paraId="03BD094E" w14:textId="77777777" w:rsidR="00ED1831" w:rsidRPr="00ED1831" w:rsidRDefault="00ED1831" w:rsidP="00ED1831">
            <w:pPr>
              <w:outlineLvl w:val="0"/>
              <w:rPr>
                <w:rFonts w:ascii="Times New Roman" w:eastAsia="Times New Roman" w:hAnsi="Times New Roman" w:cs="Times New Roman"/>
                <w:b/>
                <w:bCs/>
                <w:kern w:val="36"/>
              </w:rPr>
            </w:pPr>
            <w:r w:rsidRPr="00ED1831">
              <w:rPr>
                <w:rFonts w:ascii="Times New Roman" w:eastAsia="Times New Roman" w:hAnsi="Times New Roman" w:cs="Times New Roman"/>
                <w:b/>
                <w:bCs/>
                <w:kern w:val="36"/>
              </w:rPr>
              <w:t>FULL PRESCRIBING INFORMATION: CONTENTS</w:t>
            </w:r>
            <w:bookmarkStart w:id="0" w:name="footnote-reference-content"/>
            <w:r w:rsidRPr="00ED1831">
              <w:rPr>
                <w:rFonts w:ascii="Times New Roman" w:eastAsia="Times New Roman" w:hAnsi="Times New Roman" w:cs="Times New Roman"/>
                <w:b/>
                <w:bCs/>
                <w:kern w:val="36"/>
              </w:rPr>
              <w:fldChar w:fldCharType="begin"/>
            </w:r>
            <w:r w:rsidRPr="00ED1831">
              <w:rPr>
                <w:rFonts w:ascii="Times New Roman" w:eastAsia="Times New Roman" w:hAnsi="Times New Roman" w:cs="Times New Roman"/>
                <w:b/>
                <w:bCs/>
                <w:kern w:val="36"/>
              </w:rPr>
              <w:instrText>HYPERLINK "https://labeling.pfizer.com/ShowLabeling.aspx?id=19593" \l "footnote-content"</w:instrText>
            </w:r>
            <w:r w:rsidRPr="00ED1831">
              <w:rPr>
                <w:rFonts w:ascii="Times New Roman" w:eastAsia="Times New Roman" w:hAnsi="Times New Roman" w:cs="Times New Roman"/>
                <w:b/>
                <w:bCs/>
                <w:kern w:val="36"/>
              </w:rPr>
            </w:r>
            <w:r w:rsidRPr="00ED1831">
              <w:rPr>
                <w:rFonts w:ascii="Times New Roman" w:eastAsia="Times New Roman" w:hAnsi="Times New Roman" w:cs="Times New Roman"/>
                <w:b/>
                <w:bCs/>
                <w:kern w:val="36"/>
              </w:rPr>
              <w:fldChar w:fldCharType="separate"/>
            </w:r>
            <w:r w:rsidRPr="00ED1831">
              <w:rPr>
                <w:rFonts w:ascii="Times New Roman" w:eastAsia="Times New Roman" w:hAnsi="Times New Roman" w:cs="Times New Roman"/>
                <w:b/>
                <w:bCs/>
                <w:color w:val="0000FF"/>
                <w:kern w:val="36"/>
                <w:u w:val="single"/>
              </w:rPr>
              <w:t>*</w:t>
            </w:r>
            <w:r w:rsidRPr="00ED1831">
              <w:rPr>
                <w:rFonts w:ascii="Times New Roman" w:eastAsia="Times New Roman" w:hAnsi="Times New Roman" w:cs="Times New Roman"/>
                <w:b/>
                <w:bCs/>
                <w:kern w:val="36"/>
              </w:rPr>
              <w:fldChar w:fldCharType="end"/>
            </w:r>
            <w:bookmarkEnd w:id="0"/>
          </w:p>
          <w:p w14:paraId="061AA8BE" w14:textId="77777777" w:rsidR="00ED1831" w:rsidRPr="00ED1831" w:rsidRDefault="00ED1831" w:rsidP="00ED1831">
            <w:pPr>
              <w:outlineLvl w:val="0"/>
              <w:rPr>
                <w:rFonts w:ascii="Times New Roman" w:eastAsia="Times New Roman" w:hAnsi="Times New Roman" w:cs="Times New Roman"/>
                <w:b/>
                <w:bCs/>
                <w:kern w:val="36"/>
              </w:rPr>
            </w:pPr>
            <w:hyperlink r:id="rId27" w:anchor="section-1" w:history="1">
              <w:r w:rsidRPr="00ED1831">
                <w:rPr>
                  <w:rFonts w:ascii="Times New Roman" w:eastAsia="Times New Roman" w:hAnsi="Times New Roman" w:cs="Times New Roman"/>
                  <w:b/>
                  <w:bCs/>
                  <w:color w:val="0000FF"/>
                  <w:kern w:val="36"/>
                  <w:u w:val="single"/>
                </w:rPr>
                <w:t>1 INDICATIONS AND USAGE</w:t>
              </w:r>
            </w:hyperlink>
          </w:p>
          <w:p w14:paraId="47C8255D" w14:textId="77777777" w:rsidR="00ED1831" w:rsidRPr="00ED1831" w:rsidRDefault="00ED1831" w:rsidP="00ED1831">
            <w:pPr>
              <w:outlineLvl w:val="0"/>
              <w:rPr>
                <w:rFonts w:ascii="Times New Roman" w:eastAsia="Times New Roman" w:hAnsi="Times New Roman" w:cs="Times New Roman"/>
                <w:b/>
                <w:bCs/>
                <w:kern w:val="36"/>
              </w:rPr>
            </w:pPr>
            <w:hyperlink r:id="rId28" w:anchor="section-2" w:history="1">
              <w:r w:rsidRPr="00ED1831">
                <w:rPr>
                  <w:rFonts w:ascii="Times New Roman" w:eastAsia="Times New Roman" w:hAnsi="Times New Roman" w:cs="Times New Roman"/>
                  <w:b/>
                  <w:bCs/>
                  <w:color w:val="0000FF"/>
                  <w:kern w:val="36"/>
                  <w:u w:val="single"/>
                </w:rPr>
                <w:t>2 DOSAGE AND ADMINISTRATION</w:t>
              </w:r>
            </w:hyperlink>
          </w:p>
          <w:p w14:paraId="644E3E4B" w14:textId="77777777" w:rsidR="00ED1831" w:rsidRPr="00ED1831" w:rsidRDefault="00ED1831" w:rsidP="00ED1831">
            <w:pPr>
              <w:ind w:left="240"/>
              <w:outlineLvl w:val="1"/>
              <w:rPr>
                <w:rFonts w:ascii="Times New Roman" w:eastAsia="Times New Roman" w:hAnsi="Times New Roman" w:cs="Times New Roman"/>
              </w:rPr>
            </w:pPr>
            <w:hyperlink r:id="rId29" w:anchor="section-2.1" w:history="1">
              <w:r w:rsidRPr="00ED1831">
                <w:rPr>
                  <w:rFonts w:ascii="Times New Roman" w:eastAsia="Times New Roman" w:hAnsi="Times New Roman" w:cs="Times New Roman"/>
                  <w:color w:val="0000FF"/>
                  <w:u w:val="single"/>
                </w:rPr>
                <w:t>2.1 Recommended Dosage for Adults and Pediatric Patients 12 Years and Older</w:t>
              </w:r>
            </w:hyperlink>
          </w:p>
          <w:p w14:paraId="28B8B776" w14:textId="77777777" w:rsidR="00ED1831" w:rsidRPr="00ED1831" w:rsidRDefault="00ED1831" w:rsidP="00ED1831">
            <w:pPr>
              <w:ind w:left="240"/>
              <w:outlineLvl w:val="1"/>
              <w:rPr>
                <w:rFonts w:ascii="Times New Roman" w:eastAsia="Times New Roman" w:hAnsi="Times New Roman" w:cs="Times New Roman"/>
              </w:rPr>
            </w:pPr>
            <w:hyperlink r:id="rId30" w:anchor="section-2.2" w:history="1">
              <w:r w:rsidRPr="00ED1831">
                <w:rPr>
                  <w:rFonts w:ascii="Times New Roman" w:eastAsia="Times New Roman" w:hAnsi="Times New Roman" w:cs="Times New Roman"/>
                  <w:color w:val="0000FF"/>
                  <w:u w:val="single"/>
                </w:rPr>
                <w:t>2.2 Recommended Dosage for Pediatric Patients 4 Years to Less Than 12 Years</w:t>
              </w:r>
            </w:hyperlink>
          </w:p>
          <w:p w14:paraId="5162F924" w14:textId="77777777" w:rsidR="00ED1831" w:rsidRPr="00ED1831" w:rsidRDefault="00ED1831" w:rsidP="00ED1831">
            <w:pPr>
              <w:ind w:left="240"/>
              <w:outlineLvl w:val="1"/>
              <w:rPr>
                <w:rFonts w:ascii="Times New Roman" w:eastAsia="Times New Roman" w:hAnsi="Times New Roman" w:cs="Times New Roman"/>
              </w:rPr>
            </w:pPr>
            <w:hyperlink r:id="rId31" w:anchor="section-2.3" w:history="1">
              <w:r w:rsidRPr="00ED1831">
                <w:rPr>
                  <w:rFonts w:ascii="Times New Roman" w:eastAsia="Times New Roman" w:hAnsi="Times New Roman" w:cs="Times New Roman"/>
                  <w:color w:val="0000FF"/>
                  <w:u w:val="single"/>
                </w:rPr>
                <w:t>2.3 Recommended Dosage for Adults and Pediatric Patients 12 Years and Older with Hepatic Impairment</w:t>
              </w:r>
            </w:hyperlink>
          </w:p>
          <w:p w14:paraId="5CFCBAA9" w14:textId="77777777" w:rsidR="00ED1831" w:rsidRPr="00ED1831" w:rsidRDefault="00ED1831" w:rsidP="00ED1831">
            <w:pPr>
              <w:ind w:left="240"/>
              <w:outlineLvl w:val="1"/>
              <w:rPr>
                <w:rFonts w:ascii="Times New Roman" w:eastAsia="Times New Roman" w:hAnsi="Times New Roman" w:cs="Times New Roman"/>
              </w:rPr>
            </w:pPr>
            <w:hyperlink r:id="rId32" w:anchor="section-2.4" w:history="1">
              <w:r w:rsidRPr="00ED1831">
                <w:rPr>
                  <w:rFonts w:ascii="Times New Roman" w:eastAsia="Times New Roman" w:hAnsi="Times New Roman" w:cs="Times New Roman"/>
                  <w:color w:val="0000FF"/>
                  <w:u w:val="single"/>
                </w:rPr>
                <w:t>2.4 Recommended Dosage for Pediatric Patients 4 Years to Less Than 12 Years with Hepatic Impairment</w:t>
              </w:r>
            </w:hyperlink>
          </w:p>
          <w:p w14:paraId="6691C467" w14:textId="77777777" w:rsidR="00ED1831" w:rsidRPr="00ED1831" w:rsidRDefault="00ED1831" w:rsidP="00ED1831">
            <w:pPr>
              <w:ind w:left="240"/>
              <w:outlineLvl w:val="1"/>
              <w:rPr>
                <w:rFonts w:ascii="Times New Roman" w:eastAsia="Times New Roman" w:hAnsi="Times New Roman" w:cs="Times New Roman"/>
              </w:rPr>
            </w:pPr>
            <w:hyperlink r:id="rId33" w:anchor="section-2.5" w:history="1">
              <w:r w:rsidRPr="00ED1831">
                <w:rPr>
                  <w:rFonts w:ascii="Times New Roman" w:eastAsia="Times New Roman" w:hAnsi="Times New Roman" w:cs="Times New Roman"/>
                  <w:color w:val="0000FF"/>
                  <w:u w:val="single"/>
                </w:rPr>
                <w:t>2.5 Recommended Dosage of OXBRYTA for Adults and Pediatric Patients 12 Years and Older When Used with Concomitant Strong or Moderate CYP3A4 Inducers</w:t>
              </w:r>
            </w:hyperlink>
          </w:p>
          <w:p w14:paraId="0128898D" w14:textId="77777777" w:rsidR="00ED1831" w:rsidRPr="00ED1831" w:rsidRDefault="00ED1831" w:rsidP="00ED1831">
            <w:pPr>
              <w:ind w:left="240"/>
              <w:outlineLvl w:val="1"/>
              <w:rPr>
                <w:rFonts w:ascii="Times New Roman" w:eastAsia="Times New Roman" w:hAnsi="Times New Roman" w:cs="Times New Roman"/>
              </w:rPr>
            </w:pPr>
            <w:hyperlink r:id="rId34" w:anchor="section-2.6" w:history="1">
              <w:r w:rsidRPr="00ED1831">
                <w:rPr>
                  <w:rFonts w:ascii="Times New Roman" w:eastAsia="Times New Roman" w:hAnsi="Times New Roman" w:cs="Times New Roman"/>
                  <w:color w:val="0000FF"/>
                  <w:u w:val="single"/>
                </w:rPr>
                <w:t>2.6 Recommended Dosage of OXBRYTA for Pediatric Patients 4 Years to Less Than 12 Years When Used with Concomitant Strong or Moderate CYP3A4 Inducers</w:t>
              </w:r>
            </w:hyperlink>
          </w:p>
          <w:p w14:paraId="0B318971" w14:textId="77777777" w:rsidR="00ED1831" w:rsidRPr="00ED1831" w:rsidRDefault="00ED1831" w:rsidP="00ED1831">
            <w:pPr>
              <w:ind w:left="240"/>
              <w:outlineLvl w:val="1"/>
              <w:rPr>
                <w:rFonts w:ascii="Times New Roman" w:eastAsia="Times New Roman" w:hAnsi="Times New Roman" w:cs="Times New Roman"/>
              </w:rPr>
            </w:pPr>
            <w:hyperlink r:id="rId35" w:anchor="section-2.7" w:history="1">
              <w:r w:rsidRPr="00ED1831">
                <w:rPr>
                  <w:rFonts w:ascii="Times New Roman" w:eastAsia="Times New Roman" w:hAnsi="Times New Roman" w:cs="Times New Roman"/>
                  <w:color w:val="0000FF"/>
                  <w:u w:val="single"/>
                </w:rPr>
                <w:t>2.7 Important Administration Instructions</w:t>
              </w:r>
            </w:hyperlink>
          </w:p>
          <w:p w14:paraId="067275C5" w14:textId="77777777" w:rsidR="00ED1831" w:rsidRPr="00ED1831" w:rsidRDefault="00ED1831" w:rsidP="00ED1831">
            <w:pPr>
              <w:outlineLvl w:val="0"/>
              <w:rPr>
                <w:rFonts w:ascii="Times New Roman" w:eastAsia="Times New Roman" w:hAnsi="Times New Roman" w:cs="Times New Roman"/>
                <w:b/>
                <w:bCs/>
                <w:kern w:val="36"/>
              </w:rPr>
            </w:pPr>
            <w:hyperlink r:id="rId36" w:anchor="section-3" w:history="1">
              <w:r w:rsidRPr="00ED1831">
                <w:rPr>
                  <w:rFonts w:ascii="Times New Roman" w:eastAsia="Times New Roman" w:hAnsi="Times New Roman" w:cs="Times New Roman"/>
                  <w:b/>
                  <w:bCs/>
                  <w:color w:val="0000FF"/>
                  <w:kern w:val="36"/>
                  <w:u w:val="single"/>
                </w:rPr>
                <w:t>3 DOSAGE FORMS AND STRENGTHS</w:t>
              </w:r>
            </w:hyperlink>
          </w:p>
          <w:p w14:paraId="701CAAA4" w14:textId="77777777" w:rsidR="00ED1831" w:rsidRPr="00ED1831" w:rsidRDefault="00ED1831" w:rsidP="00ED1831">
            <w:pPr>
              <w:outlineLvl w:val="0"/>
              <w:rPr>
                <w:rFonts w:ascii="Times New Roman" w:eastAsia="Times New Roman" w:hAnsi="Times New Roman" w:cs="Times New Roman"/>
                <w:b/>
                <w:bCs/>
                <w:kern w:val="36"/>
              </w:rPr>
            </w:pPr>
            <w:hyperlink r:id="rId37" w:anchor="section-4" w:history="1">
              <w:r w:rsidRPr="00ED1831">
                <w:rPr>
                  <w:rFonts w:ascii="Times New Roman" w:eastAsia="Times New Roman" w:hAnsi="Times New Roman" w:cs="Times New Roman"/>
                  <w:b/>
                  <w:bCs/>
                  <w:color w:val="0000FF"/>
                  <w:kern w:val="36"/>
                  <w:u w:val="single"/>
                </w:rPr>
                <w:t>4 CONTRAINDICATIONS</w:t>
              </w:r>
            </w:hyperlink>
          </w:p>
          <w:p w14:paraId="16CB543F" w14:textId="77777777" w:rsidR="00ED1831" w:rsidRPr="00ED1831" w:rsidRDefault="00ED1831" w:rsidP="00ED1831">
            <w:pPr>
              <w:outlineLvl w:val="0"/>
              <w:rPr>
                <w:rFonts w:ascii="Times New Roman" w:eastAsia="Times New Roman" w:hAnsi="Times New Roman" w:cs="Times New Roman"/>
                <w:b/>
                <w:bCs/>
                <w:kern w:val="36"/>
              </w:rPr>
            </w:pPr>
            <w:hyperlink r:id="rId38" w:anchor="section-5" w:history="1">
              <w:r w:rsidRPr="00ED1831">
                <w:rPr>
                  <w:rFonts w:ascii="Times New Roman" w:eastAsia="Times New Roman" w:hAnsi="Times New Roman" w:cs="Times New Roman"/>
                  <w:b/>
                  <w:bCs/>
                  <w:color w:val="0000FF"/>
                  <w:kern w:val="36"/>
                  <w:u w:val="single"/>
                </w:rPr>
                <w:t>5 WARNINGS AND PRECAUTIONS</w:t>
              </w:r>
            </w:hyperlink>
          </w:p>
          <w:p w14:paraId="116BBDF2" w14:textId="77777777" w:rsidR="00ED1831" w:rsidRPr="00ED1831" w:rsidRDefault="00ED1831" w:rsidP="00ED1831">
            <w:pPr>
              <w:ind w:left="240"/>
              <w:outlineLvl w:val="1"/>
              <w:rPr>
                <w:rFonts w:ascii="Times New Roman" w:eastAsia="Times New Roman" w:hAnsi="Times New Roman" w:cs="Times New Roman"/>
              </w:rPr>
            </w:pPr>
            <w:hyperlink r:id="rId39" w:anchor="section-5.1" w:history="1">
              <w:r w:rsidRPr="00ED1831">
                <w:rPr>
                  <w:rFonts w:ascii="Times New Roman" w:eastAsia="Times New Roman" w:hAnsi="Times New Roman" w:cs="Times New Roman"/>
                  <w:color w:val="0000FF"/>
                  <w:u w:val="single"/>
                </w:rPr>
                <w:t>5.1 Hypersensitivity Reactions</w:t>
              </w:r>
            </w:hyperlink>
          </w:p>
          <w:p w14:paraId="6D62A435" w14:textId="77777777" w:rsidR="00ED1831" w:rsidRPr="00ED1831" w:rsidRDefault="00ED1831" w:rsidP="00ED1831">
            <w:pPr>
              <w:ind w:left="240"/>
              <w:outlineLvl w:val="1"/>
              <w:rPr>
                <w:rFonts w:ascii="Times New Roman" w:eastAsia="Times New Roman" w:hAnsi="Times New Roman" w:cs="Times New Roman"/>
              </w:rPr>
            </w:pPr>
            <w:hyperlink r:id="rId40" w:anchor="section-5.2" w:history="1">
              <w:r w:rsidRPr="00ED1831">
                <w:rPr>
                  <w:rFonts w:ascii="Times New Roman" w:eastAsia="Times New Roman" w:hAnsi="Times New Roman" w:cs="Times New Roman"/>
                  <w:color w:val="0000FF"/>
                  <w:u w:val="single"/>
                </w:rPr>
                <w:t>5.2 Laboratory Test Interference</w:t>
              </w:r>
            </w:hyperlink>
          </w:p>
          <w:p w14:paraId="7C428767" w14:textId="77777777" w:rsidR="00ED1831" w:rsidRPr="00ED1831" w:rsidRDefault="00ED1831" w:rsidP="00ED1831">
            <w:pPr>
              <w:outlineLvl w:val="0"/>
              <w:rPr>
                <w:rFonts w:ascii="Times New Roman" w:eastAsia="Times New Roman" w:hAnsi="Times New Roman" w:cs="Times New Roman"/>
                <w:b/>
                <w:bCs/>
                <w:kern w:val="36"/>
              </w:rPr>
            </w:pPr>
            <w:hyperlink r:id="rId41" w:anchor="section-6" w:history="1">
              <w:r w:rsidRPr="00ED1831">
                <w:rPr>
                  <w:rFonts w:ascii="Times New Roman" w:eastAsia="Times New Roman" w:hAnsi="Times New Roman" w:cs="Times New Roman"/>
                  <w:b/>
                  <w:bCs/>
                  <w:color w:val="0000FF"/>
                  <w:kern w:val="36"/>
                  <w:u w:val="single"/>
                </w:rPr>
                <w:t>6 ADVERSE REACTIONS</w:t>
              </w:r>
            </w:hyperlink>
          </w:p>
          <w:p w14:paraId="1F5167E4" w14:textId="77777777" w:rsidR="00ED1831" w:rsidRPr="00ED1831" w:rsidRDefault="00ED1831" w:rsidP="00ED1831">
            <w:pPr>
              <w:ind w:left="240"/>
              <w:outlineLvl w:val="1"/>
              <w:rPr>
                <w:rFonts w:ascii="Times New Roman" w:eastAsia="Times New Roman" w:hAnsi="Times New Roman" w:cs="Times New Roman"/>
              </w:rPr>
            </w:pPr>
            <w:hyperlink r:id="rId42" w:anchor="section-6.1" w:history="1">
              <w:r w:rsidRPr="00ED1831">
                <w:rPr>
                  <w:rFonts w:ascii="Times New Roman" w:eastAsia="Times New Roman" w:hAnsi="Times New Roman" w:cs="Times New Roman"/>
                  <w:color w:val="0000FF"/>
                  <w:u w:val="single"/>
                </w:rPr>
                <w:t>6.1 Clinical Trials Experience</w:t>
              </w:r>
            </w:hyperlink>
          </w:p>
          <w:p w14:paraId="110B57D8" w14:textId="77777777" w:rsidR="00ED1831" w:rsidRPr="00ED1831" w:rsidRDefault="00ED1831" w:rsidP="00ED1831">
            <w:pPr>
              <w:ind w:left="240"/>
              <w:outlineLvl w:val="1"/>
              <w:rPr>
                <w:rFonts w:ascii="Times New Roman" w:eastAsia="Times New Roman" w:hAnsi="Times New Roman" w:cs="Times New Roman"/>
              </w:rPr>
            </w:pPr>
            <w:hyperlink r:id="rId43" w:anchor="section-6.2" w:history="1">
              <w:r w:rsidRPr="00ED1831">
                <w:rPr>
                  <w:rFonts w:ascii="Times New Roman" w:eastAsia="Times New Roman" w:hAnsi="Times New Roman" w:cs="Times New Roman"/>
                  <w:color w:val="0000FF"/>
                  <w:u w:val="single"/>
                </w:rPr>
                <w:t xml:space="preserve">6.2 </w:t>
              </w:r>
              <w:proofErr w:type="spellStart"/>
              <w:r w:rsidRPr="00ED1831">
                <w:rPr>
                  <w:rFonts w:ascii="Times New Roman" w:eastAsia="Times New Roman" w:hAnsi="Times New Roman" w:cs="Times New Roman"/>
                  <w:color w:val="0000FF"/>
                  <w:u w:val="single"/>
                </w:rPr>
                <w:t>Postmarketing</w:t>
              </w:r>
              <w:proofErr w:type="spellEnd"/>
              <w:r w:rsidRPr="00ED1831">
                <w:rPr>
                  <w:rFonts w:ascii="Times New Roman" w:eastAsia="Times New Roman" w:hAnsi="Times New Roman" w:cs="Times New Roman"/>
                  <w:color w:val="0000FF"/>
                  <w:u w:val="single"/>
                </w:rPr>
                <w:t xml:space="preserve"> Experience</w:t>
              </w:r>
            </w:hyperlink>
          </w:p>
          <w:p w14:paraId="7B35ADEA" w14:textId="77777777" w:rsidR="00ED1831" w:rsidRPr="00ED1831" w:rsidRDefault="00ED1831" w:rsidP="00ED1831">
            <w:pPr>
              <w:outlineLvl w:val="0"/>
              <w:rPr>
                <w:rFonts w:ascii="Times New Roman" w:eastAsia="Times New Roman" w:hAnsi="Times New Roman" w:cs="Times New Roman"/>
                <w:b/>
                <w:bCs/>
                <w:kern w:val="36"/>
              </w:rPr>
            </w:pPr>
            <w:hyperlink r:id="rId44" w:anchor="section-7" w:history="1">
              <w:r w:rsidRPr="00ED1831">
                <w:rPr>
                  <w:rFonts w:ascii="Times New Roman" w:eastAsia="Times New Roman" w:hAnsi="Times New Roman" w:cs="Times New Roman"/>
                  <w:b/>
                  <w:bCs/>
                  <w:color w:val="0000FF"/>
                  <w:kern w:val="36"/>
                  <w:u w:val="single"/>
                </w:rPr>
                <w:t>7 DRUG INTERACTIONS</w:t>
              </w:r>
            </w:hyperlink>
          </w:p>
          <w:p w14:paraId="555DEFE7" w14:textId="77777777" w:rsidR="00ED1831" w:rsidRPr="00ED1831" w:rsidRDefault="00ED1831" w:rsidP="00ED1831">
            <w:pPr>
              <w:ind w:left="240"/>
              <w:outlineLvl w:val="1"/>
              <w:rPr>
                <w:rFonts w:ascii="Times New Roman" w:eastAsia="Times New Roman" w:hAnsi="Times New Roman" w:cs="Times New Roman"/>
              </w:rPr>
            </w:pPr>
            <w:hyperlink r:id="rId45" w:anchor="section-7.1" w:history="1">
              <w:r w:rsidRPr="00ED1831">
                <w:rPr>
                  <w:rFonts w:ascii="Times New Roman" w:eastAsia="Times New Roman" w:hAnsi="Times New Roman" w:cs="Times New Roman"/>
                  <w:color w:val="0000FF"/>
                  <w:u w:val="single"/>
                </w:rPr>
                <w:t xml:space="preserve">7.1 Effect of Other Drugs on </w:t>
              </w:r>
              <w:proofErr w:type="spellStart"/>
              <w:r w:rsidRPr="00ED1831">
                <w:rPr>
                  <w:rFonts w:ascii="Times New Roman" w:eastAsia="Times New Roman" w:hAnsi="Times New Roman" w:cs="Times New Roman"/>
                  <w:color w:val="0000FF"/>
                  <w:u w:val="single"/>
                </w:rPr>
                <w:t>Voxelotor</w:t>
              </w:r>
              <w:proofErr w:type="spellEnd"/>
            </w:hyperlink>
          </w:p>
          <w:p w14:paraId="0FC9618A" w14:textId="77777777" w:rsidR="00ED1831" w:rsidRPr="00ED1831" w:rsidRDefault="00ED1831" w:rsidP="00ED1831">
            <w:pPr>
              <w:ind w:left="240"/>
              <w:outlineLvl w:val="1"/>
              <w:rPr>
                <w:rFonts w:ascii="Times New Roman" w:eastAsia="Times New Roman" w:hAnsi="Times New Roman" w:cs="Times New Roman"/>
              </w:rPr>
            </w:pPr>
            <w:hyperlink r:id="rId46" w:anchor="section-7.2" w:history="1">
              <w:r w:rsidRPr="00ED1831">
                <w:rPr>
                  <w:rFonts w:ascii="Times New Roman" w:eastAsia="Times New Roman" w:hAnsi="Times New Roman" w:cs="Times New Roman"/>
                  <w:color w:val="0000FF"/>
                  <w:u w:val="single"/>
                </w:rPr>
                <w:t xml:space="preserve">7.2 Effect of </w:t>
              </w:r>
              <w:proofErr w:type="spellStart"/>
              <w:r w:rsidRPr="00ED1831">
                <w:rPr>
                  <w:rFonts w:ascii="Times New Roman" w:eastAsia="Times New Roman" w:hAnsi="Times New Roman" w:cs="Times New Roman"/>
                  <w:color w:val="0000FF"/>
                  <w:u w:val="single"/>
                </w:rPr>
                <w:t>Voxelotor</w:t>
              </w:r>
              <w:proofErr w:type="spellEnd"/>
              <w:r w:rsidRPr="00ED1831">
                <w:rPr>
                  <w:rFonts w:ascii="Times New Roman" w:eastAsia="Times New Roman" w:hAnsi="Times New Roman" w:cs="Times New Roman"/>
                  <w:color w:val="0000FF"/>
                  <w:u w:val="single"/>
                </w:rPr>
                <w:t xml:space="preserve"> on Other Drugs</w:t>
              </w:r>
            </w:hyperlink>
          </w:p>
          <w:p w14:paraId="3BAF9ED5" w14:textId="77777777" w:rsidR="00ED1831" w:rsidRPr="00ED1831" w:rsidRDefault="00ED1831" w:rsidP="00ED1831">
            <w:pPr>
              <w:ind w:left="240"/>
              <w:outlineLvl w:val="1"/>
              <w:rPr>
                <w:rFonts w:ascii="Times New Roman" w:eastAsia="Times New Roman" w:hAnsi="Times New Roman" w:cs="Times New Roman"/>
              </w:rPr>
            </w:pPr>
            <w:hyperlink r:id="rId47" w:anchor="section-7.3" w:history="1">
              <w:r w:rsidRPr="00ED1831">
                <w:rPr>
                  <w:rFonts w:ascii="Times New Roman" w:eastAsia="Times New Roman" w:hAnsi="Times New Roman" w:cs="Times New Roman"/>
                  <w:color w:val="0000FF"/>
                  <w:u w:val="single"/>
                </w:rPr>
                <w:t>7.3 Laboratory Test Interference</w:t>
              </w:r>
            </w:hyperlink>
          </w:p>
          <w:p w14:paraId="5B6D37F4" w14:textId="77777777" w:rsidR="00ED1831" w:rsidRPr="00ED1831" w:rsidRDefault="00ED1831" w:rsidP="00ED1831">
            <w:pPr>
              <w:outlineLvl w:val="0"/>
              <w:rPr>
                <w:rFonts w:ascii="Times New Roman" w:eastAsia="Times New Roman" w:hAnsi="Times New Roman" w:cs="Times New Roman"/>
                <w:b/>
                <w:bCs/>
                <w:kern w:val="36"/>
              </w:rPr>
            </w:pPr>
            <w:hyperlink r:id="rId48" w:anchor="section-8" w:history="1">
              <w:r w:rsidRPr="00ED1831">
                <w:rPr>
                  <w:rFonts w:ascii="Times New Roman" w:eastAsia="Times New Roman" w:hAnsi="Times New Roman" w:cs="Times New Roman"/>
                  <w:b/>
                  <w:bCs/>
                  <w:color w:val="0000FF"/>
                  <w:kern w:val="36"/>
                  <w:u w:val="single"/>
                </w:rPr>
                <w:t xml:space="preserve">8 </w:t>
              </w:r>
              <w:proofErr w:type="gramStart"/>
              <w:r w:rsidRPr="00ED1831">
                <w:rPr>
                  <w:rFonts w:ascii="Times New Roman" w:eastAsia="Times New Roman" w:hAnsi="Times New Roman" w:cs="Times New Roman"/>
                  <w:b/>
                  <w:bCs/>
                  <w:color w:val="0000FF"/>
                  <w:kern w:val="36"/>
                  <w:u w:val="single"/>
                </w:rPr>
                <w:t>USE</w:t>
              </w:r>
              <w:proofErr w:type="gramEnd"/>
              <w:r w:rsidRPr="00ED1831">
                <w:rPr>
                  <w:rFonts w:ascii="Times New Roman" w:eastAsia="Times New Roman" w:hAnsi="Times New Roman" w:cs="Times New Roman"/>
                  <w:b/>
                  <w:bCs/>
                  <w:color w:val="0000FF"/>
                  <w:kern w:val="36"/>
                  <w:u w:val="single"/>
                </w:rPr>
                <w:t xml:space="preserve"> IN SPECIFIC POPULATIONS</w:t>
              </w:r>
            </w:hyperlink>
          </w:p>
          <w:p w14:paraId="08087F09" w14:textId="77777777" w:rsidR="00ED1831" w:rsidRPr="00ED1831" w:rsidRDefault="00ED1831" w:rsidP="00ED1831">
            <w:pPr>
              <w:ind w:left="240"/>
              <w:outlineLvl w:val="1"/>
              <w:rPr>
                <w:rFonts w:ascii="Times New Roman" w:eastAsia="Times New Roman" w:hAnsi="Times New Roman" w:cs="Times New Roman"/>
              </w:rPr>
            </w:pPr>
            <w:hyperlink r:id="rId49" w:anchor="section-8.1" w:history="1">
              <w:r w:rsidRPr="00ED1831">
                <w:rPr>
                  <w:rFonts w:ascii="Times New Roman" w:eastAsia="Times New Roman" w:hAnsi="Times New Roman" w:cs="Times New Roman"/>
                  <w:color w:val="0000FF"/>
                  <w:u w:val="single"/>
                </w:rPr>
                <w:t>8.1 Pregnancy</w:t>
              </w:r>
            </w:hyperlink>
          </w:p>
          <w:p w14:paraId="48FE2541" w14:textId="77777777" w:rsidR="00ED1831" w:rsidRPr="00ED1831" w:rsidRDefault="00ED1831" w:rsidP="00ED1831">
            <w:pPr>
              <w:ind w:left="240"/>
              <w:outlineLvl w:val="1"/>
              <w:rPr>
                <w:rFonts w:ascii="Times New Roman" w:eastAsia="Times New Roman" w:hAnsi="Times New Roman" w:cs="Times New Roman"/>
              </w:rPr>
            </w:pPr>
            <w:hyperlink r:id="rId50" w:anchor="section-8.2" w:history="1">
              <w:r w:rsidRPr="00ED1831">
                <w:rPr>
                  <w:rFonts w:ascii="Times New Roman" w:eastAsia="Times New Roman" w:hAnsi="Times New Roman" w:cs="Times New Roman"/>
                  <w:color w:val="0000FF"/>
                  <w:u w:val="single"/>
                </w:rPr>
                <w:t>8.2 Lactation</w:t>
              </w:r>
            </w:hyperlink>
          </w:p>
          <w:p w14:paraId="58E8162A" w14:textId="77777777" w:rsidR="00ED1831" w:rsidRPr="00ED1831" w:rsidRDefault="00ED1831" w:rsidP="00ED1831">
            <w:pPr>
              <w:ind w:left="240"/>
              <w:outlineLvl w:val="1"/>
              <w:rPr>
                <w:rFonts w:ascii="Times New Roman" w:eastAsia="Times New Roman" w:hAnsi="Times New Roman" w:cs="Times New Roman"/>
              </w:rPr>
            </w:pPr>
            <w:hyperlink r:id="rId51" w:anchor="section-8.3" w:history="1">
              <w:r w:rsidRPr="00ED1831">
                <w:rPr>
                  <w:rFonts w:ascii="Times New Roman" w:eastAsia="Times New Roman" w:hAnsi="Times New Roman" w:cs="Times New Roman"/>
                  <w:color w:val="0000FF"/>
                  <w:u w:val="single"/>
                </w:rPr>
                <w:t>8.4 Pediatric Use</w:t>
              </w:r>
            </w:hyperlink>
          </w:p>
          <w:p w14:paraId="5AA72425" w14:textId="77777777" w:rsidR="00ED1831" w:rsidRPr="00ED1831" w:rsidRDefault="00ED1831" w:rsidP="00ED1831">
            <w:pPr>
              <w:ind w:left="240"/>
              <w:outlineLvl w:val="1"/>
              <w:rPr>
                <w:rFonts w:ascii="Times New Roman" w:eastAsia="Times New Roman" w:hAnsi="Times New Roman" w:cs="Times New Roman"/>
              </w:rPr>
            </w:pPr>
            <w:hyperlink r:id="rId52" w:anchor="section-8.4" w:history="1">
              <w:r w:rsidRPr="00ED1831">
                <w:rPr>
                  <w:rFonts w:ascii="Times New Roman" w:eastAsia="Times New Roman" w:hAnsi="Times New Roman" w:cs="Times New Roman"/>
                  <w:color w:val="0000FF"/>
                  <w:u w:val="single"/>
                </w:rPr>
                <w:t>8.5 Geriatric Use</w:t>
              </w:r>
            </w:hyperlink>
          </w:p>
          <w:p w14:paraId="592285F1" w14:textId="77777777" w:rsidR="00ED1831" w:rsidRPr="00ED1831" w:rsidRDefault="00ED1831" w:rsidP="00ED1831">
            <w:pPr>
              <w:ind w:left="240"/>
              <w:outlineLvl w:val="1"/>
              <w:rPr>
                <w:rFonts w:ascii="Times New Roman" w:eastAsia="Times New Roman" w:hAnsi="Times New Roman" w:cs="Times New Roman"/>
              </w:rPr>
            </w:pPr>
            <w:hyperlink r:id="rId53" w:anchor="section-8.5" w:history="1">
              <w:r w:rsidRPr="00ED1831">
                <w:rPr>
                  <w:rFonts w:ascii="Times New Roman" w:eastAsia="Times New Roman" w:hAnsi="Times New Roman" w:cs="Times New Roman"/>
                  <w:color w:val="0000FF"/>
                  <w:u w:val="single"/>
                </w:rPr>
                <w:t>8.6 Hepatic Impairment</w:t>
              </w:r>
            </w:hyperlink>
          </w:p>
          <w:p w14:paraId="1C795AF9" w14:textId="77777777" w:rsidR="00ED1831" w:rsidRPr="00ED1831" w:rsidRDefault="00ED1831" w:rsidP="00ED1831">
            <w:pPr>
              <w:outlineLvl w:val="0"/>
              <w:rPr>
                <w:rFonts w:ascii="Times New Roman" w:eastAsia="Times New Roman" w:hAnsi="Times New Roman" w:cs="Times New Roman"/>
                <w:b/>
                <w:bCs/>
                <w:kern w:val="36"/>
              </w:rPr>
            </w:pPr>
            <w:hyperlink r:id="rId54" w:anchor="section-9" w:history="1">
              <w:r w:rsidRPr="00ED1831">
                <w:rPr>
                  <w:rFonts w:ascii="Times New Roman" w:eastAsia="Times New Roman" w:hAnsi="Times New Roman" w:cs="Times New Roman"/>
                  <w:b/>
                  <w:bCs/>
                  <w:color w:val="0000FF"/>
                  <w:kern w:val="36"/>
                  <w:u w:val="single"/>
                </w:rPr>
                <w:t xml:space="preserve">11 </w:t>
              </w:r>
              <w:proofErr w:type="gramStart"/>
              <w:r w:rsidRPr="00ED1831">
                <w:rPr>
                  <w:rFonts w:ascii="Times New Roman" w:eastAsia="Times New Roman" w:hAnsi="Times New Roman" w:cs="Times New Roman"/>
                  <w:b/>
                  <w:bCs/>
                  <w:color w:val="0000FF"/>
                  <w:kern w:val="36"/>
                  <w:u w:val="single"/>
                </w:rPr>
                <w:t>DESCRIPTION</w:t>
              </w:r>
              <w:proofErr w:type="gramEnd"/>
            </w:hyperlink>
          </w:p>
          <w:p w14:paraId="76A3D5ED" w14:textId="77777777" w:rsidR="00ED1831" w:rsidRPr="00ED1831" w:rsidRDefault="00ED1831" w:rsidP="00ED1831">
            <w:pPr>
              <w:outlineLvl w:val="0"/>
              <w:rPr>
                <w:rFonts w:ascii="Times New Roman" w:eastAsia="Times New Roman" w:hAnsi="Times New Roman" w:cs="Times New Roman"/>
                <w:b/>
                <w:bCs/>
                <w:kern w:val="36"/>
              </w:rPr>
            </w:pPr>
            <w:hyperlink r:id="rId55" w:anchor="section-10" w:history="1">
              <w:r w:rsidRPr="00ED1831">
                <w:rPr>
                  <w:rFonts w:ascii="Times New Roman" w:eastAsia="Times New Roman" w:hAnsi="Times New Roman" w:cs="Times New Roman"/>
                  <w:b/>
                  <w:bCs/>
                  <w:color w:val="0000FF"/>
                  <w:kern w:val="36"/>
                  <w:u w:val="single"/>
                </w:rPr>
                <w:t>12 CLINICAL PHARMACOLOGY</w:t>
              </w:r>
            </w:hyperlink>
          </w:p>
          <w:p w14:paraId="0652CC47" w14:textId="77777777" w:rsidR="00ED1831" w:rsidRPr="00ED1831" w:rsidRDefault="00ED1831" w:rsidP="00ED1831">
            <w:pPr>
              <w:ind w:left="240"/>
              <w:outlineLvl w:val="1"/>
              <w:rPr>
                <w:rFonts w:ascii="Times New Roman" w:eastAsia="Times New Roman" w:hAnsi="Times New Roman" w:cs="Times New Roman"/>
              </w:rPr>
            </w:pPr>
            <w:hyperlink r:id="rId56" w:anchor="section-10.1" w:history="1">
              <w:r w:rsidRPr="00ED1831">
                <w:rPr>
                  <w:rFonts w:ascii="Times New Roman" w:eastAsia="Times New Roman" w:hAnsi="Times New Roman" w:cs="Times New Roman"/>
                  <w:color w:val="0000FF"/>
                  <w:u w:val="single"/>
                </w:rPr>
                <w:t>12.1 Mechanism of Action</w:t>
              </w:r>
            </w:hyperlink>
          </w:p>
          <w:p w14:paraId="317377EA" w14:textId="77777777" w:rsidR="00ED1831" w:rsidRPr="00ED1831" w:rsidRDefault="00ED1831" w:rsidP="00ED1831">
            <w:pPr>
              <w:ind w:left="240"/>
              <w:outlineLvl w:val="1"/>
              <w:rPr>
                <w:rFonts w:ascii="Times New Roman" w:eastAsia="Times New Roman" w:hAnsi="Times New Roman" w:cs="Times New Roman"/>
              </w:rPr>
            </w:pPr>
            <w:hyperlink r:id="rId57" w:anchor="section-10.2" w:history="1">
              <w:r w:rsidRPr="00ED1831">
                <w:rPr>
                  <w:rFonts w:ascii="Times New Roman" w:eastAsia="Times New Roman" w:hAnsi="Times New Roman" w:cs="Times New Roman"/>
                  <w:color w:val="0000FF"/>
                  <w:u w:val="single"/>
                </w:rPr>
                <w:t>12.2 Pharmacodynamics</w:t>
              </w:r>
            </w:hyperlink>
          </w:p>
          <w:p w14:paraId="35CC27B9" w14:textId="77777777" w:rsidR="00ED1831" w:rsidRPr="00ED1831" w:rsidRDefault="00ED1831" w:rsidP="00ED1831">
            <w:pPr>
              <w:ind w:left="240"/>
              <w:outlineLvl w:val="1"/>
              <w:rPr>
                <w:rFonts w:ascii="Times New Roman" w:eastAsia="Times New Roman" w:hAnsi="Times New Roman" w:cs="Times New Roman"/>
              </w:rPr>
            </w:pPr>
            <w:hyperlink r:id="rId58" w:anchor="section-10.3" w:history="1">
              <w:r w:rsidRPr="00ED1831">
                <w:rPr>
                  <w:rFonts w:ascii="Times New Roman" w:eastAsia="Times New Roman" w:hAnsi="Times New Roman" w:cs="Times New Roman"/>
                  <w:color w:val="0000FF"/>
                  <w:u w:val="single"/>
                </w:rPr>
                <w:t>12.3 Pharmacokinetics</w:t>
              </w:r>
            </w:hyperlink>
          </w:p>
          <w:p w14:paraId="741CA445" w14:textId="77777777" w:rsidR="00ED1831" w:rsidRPr="00ED1831" w:rsidRDefault="00ED1831" w:rsidP="00ED1831">
            <w:pPr>
              <w:outlineLvl w:val="0"/>
              <w:rPr>
                <w:rFonts w:ascii="Times New Roman" w:eastAsia="Times New Roman" w:hAnsi="Times New Roman" w:cs="Times New Roman"/>
                <w:b/>
                <w:bCs/>
                <w:kern w:val="36"/>
              </w:rPr>
            </w:pPr>
            <w:hyperlink r:id="rId59" w:anchor="section-11" w:history="1">
              <w:r w:rsidRPr="00ED1831">
                <w:rPr>
                  <w:rFonts w:ascii="Times New Roman" w:eastAsia="Times New Roman" w:hAnsi="Times New Roman" w:cs="Times New Roman"/>
                  <w:b/>
                  <w:bCs/>
                  <w:color w:val="0000FF"/>
                  <w:kern w:val="36"/>
                  <w:u w:val="single"/>
                </w:rPr>
                <w:t>13 NONCLINICAL TOXICOLOGY</w:t>
              </w:r>
            </w:hyperlink>
          </w:p>
          <w:p w14:paraId="09D6D086" w14:textId="77777777" w:rsidR="00ED1831" w:rsidRPr="00ED1831" w:rsidRDefault="00ED1831" w:rsidP="00ED1831">
            <w:pPr>
              <w:ind w:left="240"/>
              <w:outlineLvl w:val="1"/>
              <w:rPr>
                <w:rFonts w:ascii="Times New Roman" w:eastAsia="Times New Roman" w:hAnsi="Times New Roman" w:cs="Times New Roman"/>
              </w:rPr>
            </w:pPr>
            <w:hyperlink r:id="rId60" w:anchor="section-11.1" w:history="1">
              <w:r w:rsidRPr="00ED1831">
                <w:rPr>
                  <w:rFonts w:ascii="Times New Roman" w:eastAsia="Times New Roman" w:hAnsi="Times New Roman" w:cs="Times New Roman"/>
                  <w:color w:val="0000FF"/>
                  <w:u w:val="single"/>
                </w:rPr>
                <w:t>13.1 Carcinogenesis, Mutagenesis, Impairment of Fertility</w:t>
              </w:r>
            </w:hyperlink>
          </w:p>
          <w:p w14:paraId="110A55E9" w14:textId="77777777" w:rsidR="00ED1831" w:rsidRPr="00ED1831" w:rsidRDefault="00ED1831" w:rsidP="00ED1831">
            <w:pPr>
              <w:outlineLvl w:val="0"/>
              <w:rPr>
                <w:rFonts w:ascii="Times New Roman" w:eastAsia="Times New Roman" w:hAnsi="Times New Roman" w:cs="Times New Roman"/>
                <w:b/>
                <w:bCs/>
                <w:kern w:val="36"/>
              </w:rPr>
            </w:pPr>
            <w:hyperlink r:id="rId61" w:anchor="section-12" w:history="1">
              <w:r w:rsidRPr="00ED1831">
                <w:rPr>
                  <w:rFonts w:ascii="Times New Roman" w:eastAsia="Times New Roman" w:hAnsi="Times New Roman" w:cs="Times New Roman"/>
                  <w:b/>
                  <w:bCs/>
                  <w:color w:val="0000FF"/>
                  <w:kern w:val="36"/>
                  <w:u w:val="single"/>
                </w:rPr>
                <w:t>14 CLINICAL STUDIES</w:t>
              </w:r>
            </w:hyperlink>
          </w:p>
          <w:p w14:paraId="548E8C15" w14:textId="77777777" w:rsidR="00ED1831" w:rsidRPr="00ED1831" w:rsidRDefault="00ED1831" w:rsidP="00ED1831">
            <w:pPr>
              <w:ind w:left="240"/>
              <w:outlineLvl w:val="1"/>
              <w:rPr>
                <w:rFonts w:ascii="Times New Roman" w:eastAsia="Times New Roman" w:hAnsi="Times New Roman" w:cs="Times New Roman"/>
              </w:rPr>
            </w:pPr>
            <w:hyperlink r:id="rId62" w:anchor="section-12.1" w:history="1">
              <w:r w:rsidRPr="00ED1831">
                <w:rPr>
                  <w:rFonts w:ascii="Times New Roman" w:eastAsia="Times New Roman" w:hAnsi="Times New Roman" w:cs="Times New Roman"/>
                  <w:color w:val="0000FF"/>
                  <w:u w:val="single"/>
                </w:rPr>
                <w:t>14.1 Adults and Pediatric Patients 12 Years and Older</w:t>
              </w:r>
            </w:hyperlink>
          </w:p>
          <w:p w14:paraId="7BA0E38F" w14:textId="77777777" w:rsidR="00ED1831" w:rsidRPr="00ED1831" w:rsidRDefault="00ED1831" w:rsidP="00ED1831">
            <w:pPr>
              <w:ind w:left="240"/>
              <w:outlineLvl w:val="1"/>
              <w:rPr>
                <w:rFonts w:ascii="Times New Roman" w:eastAsia="Times New Roman" w:hAnsi="Times New Roman" w:cs="Times New Roman"/>
              </w:rPr>
            </w:pPr>
            <w:hyperlink r:id="rId63" w:anchor="section-12.2" w:history="1">
              <w:r w:rsidRPr="00ED1831">
                <w:rPr>
                  <w:rFonts w:ascii="Times New Roman" w:eastAsia="Times New Roman" w:hAnsi="Times New Roman" w:cs="Times New Roman"/>
                  <w:color w:val="0000FF"/>
                  <w:u w:val="single"/>
                </w:rPr>
                <w:t>14.2 Pediatric Patients 4 to &lt;12 Years</w:t>
              </w:r>
            </w:hyperlink>
          </w:p>
          <w:p w14:paraId="6646CE4C" w14:textId="77777777" w:rsidR="00ED1831" w:rsidRPr="00ED1831" w:rsidRDefault="00ED1831" w:rsidP="00ED1831">
            <w:pPr>
              <w:outlineLvl w:val="0"/>
              <w:rPr>
                <w:rFonts w:ascii="Times New Roman" w:eastAsia="Times New Roman" w:hAnsi="Times New Roman" w:cs="Times New Roman"/>
                <w:b/>
                <w:bCs/>
                <w:kern w:val="36"/>
              </w:rPr>
            </w:pPr>
            <w:hyperlink r:id="rId64" w:anchor="section-13" w:history="1">
              <w:r w:rsidRPr="00ED1831">
                <w:rPr>
                  <w:rFonts w:ascii="Times New Roman" w:eastAsia="Times New Roman" w:hAnsi="Times New Roman" w:cs="Times New Roman"/>
                  <w:b/>
                  <w:bCs/>
                  <w:color w:val="0000FF"/>
                  <w:kern w:val="36"/>
                  <w:u w:val="single"/>
                </w:rPr>
                <w:t>16 HOW SUPPLIED/STORAGE AND HANDLING</w:t>
              </w:r>
            </w:hyperlink>
          </w:p>
          <w:p w14:paraId="45652249" w14:textId="77777777" w:rsidR="00ED1831" w:rsidRPr="00ED1831" w:rsidRDefault="00ED1831" w:rsidP="00ED1831">
            <w:pPr>
              <w:outlineLvl w:val="0"/>
              <w:rPr>
                <w:rFonts w:ascii="Times New Roman" w:eastAsia="Times New Roman" w:hAnsi="Times New Roman" w:cs="Times New Roman"/>
                <w:b/>
                <w:bCs/>
                <w:kern w:val="36"/>
              </w:rPr>
            </w:pPr>
            <w:hyperlink r:id="rId65" w:anchor="section-14" w:history="1">
              <w:r w:rsidRPr="00ED1831">
                <w:rPr>
                  <w:rFonts w:ascii="Times New Roman" w:eastAsia="Times New Roman" w:hAnsi="Times New Roman" w:cs="Times New Roman"/>
                  <w:b/>
                  <w:bCs/>
                  <w:color w:val="0000FF"/>
                  <w:kern w:val="36"/>
                  <w:u w:val="single"/>
                </w:rPr>
                <w:t>17 PATIENT COUNSELING INFORMATION</w:t>
              </w:r>
            </w:hyperlink>
          </w:p>
          <w:bookmarkStart w:id="1" w:name="footnote-content"/>
          <w:p w14:paraId="53E11AD7" w14:textId="77777777" w:rsidR="00ED1831" w:rsidRPr="00ED1831" w:rsidRDefault="00ED1831" w:rsidP="00ED1831">
            <w:pPr>
              <w:rPr>
                <w:rFonts w:ascii="Times New Roman" w:eastAsia="Times New Roman" w:hAnsi="Times New Roman" w:cs="Times New Roman"/>
                <w:sz w:val="22"/>
                <w:szCs w:val="22"/>
              </w:rPr>
            </w:pPr>
            <w:r w:rsidRPr="00ED1831">
              <w:rPr>
                <w:rFonts w:ascii="Times New Roman" w:eastAsia="Times New Roman" w:hAnsi="Times New Roman" w:cs="Times New Roman"/>
                <w:sz w:val="22"/>
                <w:szCs w:val="22"/>
              </w:rPr>
              <w:fldChar w:fldCharType="begin"/>
            </w:r>
            <w:r w:rsidRPr="00ED1831">
              <w:rPr>
                <w:rFonts w:ascii="Times New Roman" w:eastAsia="Times New Roman" w:hAnsi="Times New Roman" w:cs="Times New Roman"/>
                <w:sz w:val="22"/>
                <w:szCs w:val="22"/>
              </w:rPr>
              <w:instrText>HYPERLINK "https://labeling.pfizer.com/ShowLabeling.aspx?id=19593" \l "footnote-reference-content"</w:instrText>
            </w:r>
            <w:r w:rsidRPr="00ED1831">
              <w:rPr>
                <w:rFonts w:ascii="Times New Roman" w:eastAsia="Times New Roman" w:hAnsi="Times New Roman" w:cs="Times New Roman"/>
                <w:sz w:val="22"/>
                <w:szCs w:val="22"/>
              </w:rPr>
            </w:r>
            <w:r w:rsidRPr="00ED1831">
              <w:rPr>
                <w:rFonts w:ascii="Times New Roman" w:eastAsia="Times New Roman" w:hAnsi="Times New Roman" w:cs="Times New Roman"/>
                <w:sz w:val="22"/>
                <w:szCs w:val="22"/>
              </w:rPr>
              <w:fldChar w:fldCharType="separate"/>
            </w:r>
            <w:r w:rsidRPr="00ED1831">
              <w:rPr>
                <w:rFonts w:ascii="Times New Roman" w:eastAsia="Times New Roman" w:hAnsi="Times New Roman" w:cs="Times New Roman"/>
                <w:color w:val="0000FF"/>
                <w:sz w:val="22"/>
                <w:szCs w:val="22"/>
                <w:u w:val="single"/>
              </w:rPr>
              <w:t>*</w:t>
            </w:r>
            <w:r w:rsidRPr="00ED1831">
              <w:rPr>
                <w:rFonts w:ascii="Times New Roman" w:eastAsia="Times New Roman" w:hAnsi="Times New Roman" w:cs="Times New Roman"/>
                <w:sz w:val="22"/>
                <w:szCs w:val="22"/>
              </w:rPr>
              <w:fldChar w:fldCharType="end"/>
            </w:r>
            <w:bookmarkEnd w:id="1"/>
          </w:p>
          <w:p w14:paraId="7DCF9F84" w14:textId="77777777" w:rsidR="00ED1831" w:rsidRPr="00ED1831" w:rsidRDefault="00ED1831" w:rsidP="00ED1831">
            <w:pPr>
              <w:ind w:left="720"/>
              <w:rPr>
                <w:rFonts w:ascii="Times New Roman" w:eastAsia="Times New Roman" w:hAnsi="Times New Roman" w:cs="Times New Roman"/>
                <w:sz w:val="22"/>
                <w:szCs w:val="22"/>
              </w:rPr>
            </w:pPr>
            <w:r w:rsidRPr="00ED1831">
              <w:rPr>
                <w:rFonts w:ascii="Times New Roman" w:eastAsia="Times New Roman" w:hAnsi="Times New Roman" w:cs="Times New Roman"/>
                <w:sz w:val="22"/>
                <w:szCs w:val="22"/>
              </w:rPr>
              <w:t>Sections or subsections omitted from the full prescribing information are not listed.</w:t>
            </w:r>
          </w:p>
        </w:tc>
      </w:tr>
    </w:tbl>
    <w:p w14:paraId="02F307A6" w14:textId="77777777" w:rsidR="00ED1831" w:rsidRPr="00ED1831" w:rsidRDefault="00ED1831" w:rsidP="00ED1831">
      <w:pPr>
        <w:spacing w:before="100" w:beforeAutospacing="1"/>
        <w:outlineLvl w:val="0"/>
        <w:rPr>
          <w:rFonts w:ascii="Times New Roman" w:eastAsia="Times New Roman" w:hAnsi="Times New Roman" w:cs="Times New Roman"/>
          <w:b/>
          <w:bCs/>
          <w:color w:val="000000"/>
          <w:kern w:val="36"/>
        </w:rPr>
      </w:pPr>
      <w:r w:rsidRPr="00ED1831">
        <w:rPr>
          <w:rFonts w:ascii="Times New Roman" w:eastAsia="Times New Roman" w:hAnsi="Times New Roman" w:cs="Times New Roman"/>
          <w:b/>
          <w:bCs/>
          <w:color w:val="000000"/>
          <w:kern w:val="36"/>
        </w:rPr>
        <w:lastRenderedPageBreak/>
        <w:t>FULL PRESCRIBING INFORMATION</w:t>
      </w:r>
    </w:p>
    <w:p w14:paraId="407929F2" w14:textId="77777777" w:rsidR="00ED1831" w:rsidRPr="00ED1831" w:rsidRDefault="00ED1831" w:rsidP="00ED1831">
      <w:pPr>
        <w:spacing w:before="480"/>
        <w:outlineLvl w:val="0"/>
        <w:rPr>
          <w:rFonts w:ascii="Times New Roman" w:eastAsia="Times New Roman" w:hAnsi="Times New Roman" w:cs="Times New Roman"/>
          <w:b/>
          <w:bCs/>
          <w:color w:val="000000"/>
          <w:kern w:val="36"/>
        </w:rPr>
      </w:pPr>
      <w:bookmarkStart w:id="2" w:name="S1"/>
      <w:bookmarkStart w:id="3" w:name="section-1"/>
      <w:bookmarkEnd w:id="2"/>
      <w:bookmarkEnd w:id="3"/>
      <w:r w:rsidRPr="00ED1831">
        <w:rPr>
          <w:rFonts w:ascii="Times New Roman" w:eastAsia="Times New Roman" w:hAnsi="Times New Roman" w:cs="Times New Roman"/>
          <w:b/>
          <w:bCs/>
          <w:color w:val="000000"/>
          <w:kern w:val="36"/>
        </w:rPr>
        <w:t>1 INDICATIONS AND USAGE</w:t>
      </w:r>
    </w:p>
    <w:p w14:paraId="034AFD11"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OXBRYTA is indicated for the treatment of sickle cell disease (SCD) in adults and pediatric patients 4 years of age and older.</w:t>
      </w:r>
    </w:p>
    <w:p w14:paraId="6EDB189D"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This indication is approved under accelerated approval based on increase in hemoglobin (Hb) </w:t>
      </w:r>
      <w:r w:rsidRPr="00ED1831">
        <w:rPr>
          <w:rFonts w:ascii="Times New Roman" w:eastAsia="Times New Roman" w:hAnsi="Times New Roman" w:cs="Times New Roman"/>
          <w:i/>
          <w:iCs/>
          <w:color w:val="000000"/>
        </w:rPr>
        <w:t>[see </w:t>
      </w:r>
      <w:hyperlink r:id="rId66" w:anchor="S14" w:history="1">
        <w:r w:rsidRPr="00ED1831">
          <w:rPr>
            <w:rFonts w:ascii="Times New Roman" w:eastAsia="Times New Roman" w:hAnsi="Times New Roman" w:cs="Times New Roman"/>
            <w:i/>
            <w:iCs/>
            <w:color w:val="0000FF"/>
            <w:u w:val="single"/>
          </w:rPr>
          <w:t>Clinical Studies (14)</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 Continued approval for this indication may be contingent upon verification and description of clinical benefit in confirmatory trial(s).</w:t>
      </w:r>
    </w:p>
    <w:p w14:paraId="664C3C04" w14:textId="77777777" w:rsidR="00ED1831" w:rsidRPr="00ED1831" w:rsidRDefault="00ED1831" w:rsidP="00ED1831">
      <w:pPr>
        <w:spacing w:before="480"/>
        <w:outlineLvl w:val="0"/>
        <w:rPr>
          <w:rFonts w:ascii="Times New Roman" w:eastAsia="Times New Roman" w:hAnsi="Times New Roman" w:cs="Times New Roman"/>
          <w:b/>
          <w:bCs/>
          <w:color w:val="000000"/>
          <w:kern w:val="36"/>
        </w:rPr>
      </w:pPr>
      <w:bookmarkStart w:id="4" w:name="S2"/>
      <w:bookmarkStart w:id="5" w:name="section-2"/>
      <w:bookmarkEnd w:id="4"/>
      <w:bookmarkEnd w:id="5"/>
      <w:r w:rsidRPr="00ED1831">
        <w:rPr>
          <w:rFonts w:ascii="Times New Roman" w:eastAsia="Times New Roman" w:hAnsi="Times New Roman" w:cs="Times New Roman"/>
          <w:b/>
          <w:bCs/>
          <w:color w:val="000000"/>
          <w:kern w:val="36"/>
        </w:rPr>
        <w:t>2 DOSAGE AND ADMINISTRATION</w:t>
      </w:r>
    </w:p>
    <w:p w14:paraId="15A75553"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6" w:name="S2.1"/>
      <w:bookmarkStart w:id="7" w:name="section-2.1"/>
      <w:bookmarkEnd w:id="6"/>
      <w:bookmarkEnd w:id="7"/>
      <w:r w:rsidRPr="00ED1831">
        <w:rPr>
          <w:rFonts w:ascii="Times New Roman" w:eastAsia="Times New Roman" w:hAnsi="Times New Roman" w:cs="Times New Roman"/>
          <w:b/>
          <w:bCs/>
          <w:color w:val="000000"/>
        </w:rPr>
        <w:t>2.1 Recommended Dosage for Adults and Pediatric Patients 12 Years and Older</w:t>
      </w:r>
    </w:p>
    <w:p w14:paraId="4F810BE5"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The recommended dosage of OXBRYTA is 1,500 mg orally once daily.</w:t>
      </w:r>
    </w:p>
    <w:p w14:paraId="24B2399E"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8" w:name="S2.2"/>
      <w:bookmarkStart w:id="9" w:name="section-2.2"/>
      <w:bookmarkEnd w:id="8"/>
      <w:bookmarkEnd w:id="9"/>
      <w:r w:rsidRPr="00ED1831">
        <w:rPr>
          <w:rFonts w:ascii="Times New Roman" w:eastAsia="Times New Roman" w:hAnsi="Times New Roman" w:cs="Times New Roman"/>
          <w:b/>
          <w:bCs/>
          <w:color w:val="000000"/>
        </w:rPr>
        <w:t>2.2 Recommended Dosage for Pediatric Patients 4 Years to Less Than 12 Years</w:t>
      </w:r>
    </w:p>
    <w:p w14:paraId="64592BAD" w14:textId="77777777" w:rsidR="00ED1831" w:rsidRPr="00ED1831" w:rsidRDefault="00ED1831" w:rsidP="00ED1831">
      <w:pPr>
        <w:pBdr>
          <w:left w:val="single" w:sz="6" w:space="0" w:color="auto"/>
        </w:pBd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lastRenderedPageBreak/>
        <w:t>For pediatric patients 4 years to less than 12 years, select the appropriate product (OXBRYTA tablets or OXBRYTA tablets for oral suspension) based on patient's ability to swallow tablets and patient's weight.</w:t>
      </w:r>
    </w:p>
    <w:p w14:paraId="4BED7E6A" w14:textId="77777777" w:rsidR="00ED1831" w:rsidRPr="00ED1831" w:rsidRDefault="00ED1831" w:rsidP="00ED1831">
      <w:pPr>
        <w:pBdr>
          <w:left w:val="single" w:sz="6" w:space="0" w:color="auto"/>
        </w:pBd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The recommended dosage of OXBRYTA for pediatric patients 4 years to less than 12 years is shown in Table 1.</w:t>
      </w:r>
    </w:p>
    <w:tbl>
      <w:tblPr>
        <w:tblW w:w="3750" w:type="pct"/>
        <w:tblCellMar>
          <w:top w:w="15" w:type="dxa"/>
          <w:left w:w="15" w:type="dxa"/>
          <w:bottom w:w="15" w:type="dxa"/>
          <w:right w:w="15" w:type="dxa"/>
        </w:tblCellMar>
        <w:tblLook w:val="04A0" w:firstRow="1" w:lastRow="0" w:firstColumn="1" w:lastColumn="0" w:noHBand="0" w:noVBand="1"/>
      </w:tblPr>
      <w:tblGrid>
        <w:gridCol w:w="2797"/>
        <w:gridCol w:w="4223"/>
      </w:tblGrid>
      <w:tr w:rsidR="00ED1831" w:rsidRPr="00ED1831" w14:paraId="2C60D3FB" w14:textId="77777777" w:rsidTr="00ED1831">
        <w:trPr>
          <w:tblHeader/>
        </w:trPr>
        <w:tc>
          <w:tcPr>
            <w:tcW w:w="0" w:type="auto"/>
            <w:gridSpan w:val="2"/>
            <w:tcBorders>
              <w:top w:val="nil"/>
              <w:left w:val="nil"/>
              <w:bottom w:val="nil"/>
              <w:right w:val="nil"/>
            </w:tcBorders>
            <w:vAlign w:val="center"/>
            <w:hideMark/>
          </w:tcPr>
          <w:p w14:paraId="711777EE" w14:textId="77777777" w:rsidR="00ED1831" w:rsidRPr="00ED1831" w:rsidRDefault="00ED1831" w:rsidP="00ED1831">
            <w:pPr>
              <w:spacing w:before="150" w:after="360"/>
              <w:jc w:val="center"/>
              <w:rPr>
                <w:rFonts w:ascii="Times New Roman" w:eastAsia="Times New Roman" w:hAnsi="Times New Roman" w:cs="Times New Roman"/>
                <w:b/>
                <w:bCs/>
              </w:rPr>
            </w:pPr>
            <w:bookmarkStart w:id="10" w:name="_Reftable1"/>
            <w:bookmarkEnd w:id="10"/>
            <w:r w:rsidRPr="00ED1831">
              <w:rPr>
                <w:rFonts w:ascii="Times New Roman" w:eastAsia="Times New Roman" w:hAnsi="Times New Roman" w:cs="Times New Roman"/>
                <w:b/>
                <w:bCs/>
              </w:rPr>
              <w:t>Table 1: Recommended OXBRYTA Dosage in Pediatric Patients 4 Years to Less Than 12 Years</w:t>
            </w:r>
          </w:p>
        </w:tc>
      </w:tr>
      <w:tr w:rsidR="00ED1831" w:rsidRPr="00ED1831" w14:paraId="0E8901F6" w14:textId="77777777" w:rsidTr="00ED1831">
        <w:trPr>
          <w:tblHeader/>
        </w:trPr>
        <w:tc>
          <w:tcPr>
            <w:tcW w:w="0" w:type="auto"/>
            <w:tcBorders>
              <w:top w:val="single" w:sz="6" w:space="0" w:color="000000"/>
              <w:left w:val="single" w:sz="6" w:space="0" w:color="000000"/>
              <w:bottom w:val="single" w:sz="6" w:space="0" w:color="000000"/>
              <w:right w:val="single" w:sz="6" w:space="0" w:color="000000"/>
            </w:tcBorders>
            <w:vAlign w:val="center"/>
            <w:hideMark/>
          </w:tcPr>
          <w:p w14:paraId="19B11B07" w14:textId="77777777" w:rsidR="00ED1831" w:rsidRPr="00ED1831" w:rsidRDefault="00ED1831" w:rsidP="00ED1831">
            <w:pPr>
              <w:spacing w:after="360"/>
              <w:rPr>
                <w:rFonts w:ascii="Times New Roman" w:eastAsia="Times New Roman" w:hAnsi="Times New Roman" w:cs="Times New Roman"/>
                <w:b/>
                <w:bCs/>
              </w:rPr>
            </w:pPr>
            <w:r w:rsidRPr="00ED1831">
              <w:rPr>
                <w:rFonts w:ascii="Times New Roman" w:eastAsia="Times New Roman" w:hAnsi="Times New Roman" w:cs="Times New Roman"/>
                <w:b/>
                <w:bCs/>
              </w:rPr>
              <w:t>Body Weight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A66A306" w14:textId="77777777" w:rsidR="00ED1831" w:rsidRPr="00ED1831" w:rsidRDefault="00ED1831" w:rsidP="00ED1831">
            <w:pPr>
              <w:spacing w:after="360"/>
              <w:jc w:val="center"/>
              <w:rPr>
                <w:rFonts w:ascii="Times New Roman" w:eastAsia="Times New Roman" w:hAnsi="Times New Roman" w:cs="Times New Roman"/>
                <w:b/>
                <w:bCs/>
              </w:rPr>
            </w:pPr>
            <w:r w:rsidRPr="00ED1831">
              <w:rPr>
                <w:rFonts w:ascii="Times New Roman" w:eastAsia="Times New Roman" w:hAnsi="Times New Roman" w:cs="Times New Roman"/>
                <w:b/>
                <w:bCs/>
              </w:rPr>
              <w:t>Recommended Dose (once daily)</w:t>
            </w:r>
          </w:p>
        </w:tc>
      </w:tr>
      <w:tr w:rsidR="00ED1831" w:rsidRPr="00ED1831" w14:paraId="567AB44D" w14:textId="77777777" w:rsidTr="00ED1831">
        <w:tc>
          <w:tcPr>
            <w:tcW w:w="0" w:type="auto"/>
            <w:tcBorders>
              <w:top w:val="nil"/>
              <w:left w:val="single" w:sz="6" w:space="0" w:color="000000"/>
              <w:bottom w:val="single" w:sz="6" w:space="0" w:color="000000"/>
              <w:right w:val="single" w:sz="6" w:space="0" w:color="000000"/>
            </w:tcBorders>
            <w:vAlign w:val="center"/>
            <w:hideMark/>
          </w:tcPr>
          <w:p w14:paraId="391CF99B"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40 kg or greater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7A094D7"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1,500 mg</w:t>
            </w:r>
          </w:p>
        </w:tc>
      </w:tr>
      <w:tr w:rsidR="00ED1831" w:rsidRPr="00ED1831" w14:paraId="6355CE48" w14:textId="77777777" w:rsidTr="00ED1831">
        <w:tc>
          <w:tcPr>
            <w:tcW w:w="0" w:type="auto"/>
            <w:tcBorders>
              <w:top w:val="nil"/>
              <w:left w:val="single" w:sz="6" w:space="0" w:color="000000"/>
              <w:bottom w:val="single" w:sz="6" w:space="0" w:color="000000"/>
              <w:right w:val="single" w:sz="6" w:space="0" w:color="000000"/>
            </w:tcBorders>
            <w:vAlign w:val="center"/>
            <w:hideMark/>
          </w:tcPr>
          <w:p w14:paraId="3C63D0A7"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20 kg to less than 40 kg</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C4878F9"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900 mg</w:t>
            </w:r>
          </w:p>
        </w:tc>
      </w:tr>
      <w:tr w:rsidR="00ED1831" w:rsidRPr="00ED1831" w14:paraId="0AFB879B" w14:textId="77777777" w:rsidTr="00ED1831">
        <w:tc>
          <w:tcPr>
            <w:tcW w:w="0" w:type="auto"/>
            <w:tcBorders>
              <w:top w:val="single" w:sz="6" w:space="0" w:color="000000"/>
              <w:left w:val="single" w:sz="6" w:space="0" w:color="000000"/>
              <w:bottom w:val="single" w:sz="6" w:space="0" w:color="000000"/>
              <w:right w:val="single" w:sz="6" w:space="0" w:color="000000"/>
            </w:tcBorders>
            <w:vAlign w:val="center"/>
            <w:hideMark/>
          </w:tcPr>
          <w:p w14:paraId="6DD79A96"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10 kg to less than 20 kg</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352650E"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600 mg</w:t>
            </w:r>
          </w:p>
        </w:tc>
      </w:tr>
    </w:tbl>
    <w:p w14:paraId="6E8DFDA8"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11" w:name="S2.3"/>
      <w:bookmarkStart w:id="12" w:name="section-2.3"/>
      <w:bookmarkEnd w:id="11"/>
      <w:bookmarkEnd w:id="12"/>
      <w:r w:rsidRPr="00ED1831">
        <w:rPr>
          <w:rFonts w:ascii="Times New Roman" w:eastAsia="Times New Roman" w:hAnsi="Times New Roman" w:cs="Times New Roman"/>
          <w:b/>
          <w:bCs/>
          <w:color w:val="000000"/>
        </w:rPr>
        <w:t>2.3 Recommended Dosage for Adults and Pediatric Patients 12 Years and Older with Hepatic Impairment</w:t>
      </w:r>
    </w:p>
    <w:p w14:paraId="5848F747"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The recommended dosage of OXBRYTA in adults and pediatric patients 12 years and older with severe hepatic impairment (Child Pugh C) is 1,000 mg orally once daily.</w:t>
      </w:r>
    </w:p>
    <w:p w14:paraId="024346DF"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No dosage adjustment of OXBRYTA is required for patients with mild or moderate hepatic impairment </w:t>
      </w:r>
      <w:r w:rsidRPr="00ED1831">
        <w:rPr>
          <w:rFonts w:ascii="Times New Roman" w:eastAsia="Times New Roman" w:hAnsi="Times New Roman" w:cs="Times New Roman"/>
          <w:i/>
          <w:iCs/>
          <w:color w:val="000000"/>
        </w:rPr>
        <w:t>[see </w:t>
      </w:r>
      <w:hyperlink r:id="rId67" w:anchor="S8.6" w:history="1">
        <w:r w:rsidRPr="00ED1831">
          <w:rPr>
            <w:rFonts w:ascii="Times New Roman" w:eastAsia="Times New Roman" w:hAnsi="Times New Roman" w:cs="Times New Roman"/>
            <w:i/>
            <w:iCs/>
            <w:color w:val="0000FF"/>
            <w:u w:val="single"/>
          </w:rPr>
          <w:t>Use in Specific Populations (8.6)</w:t>
        </w:r>
      </w:hyperlink>
      <w:r w:rsidRPr="00ED1831">
        <w:rPr>
          <w:rFonts w:ascii="Times New Roman" w:eastAsia="Times New Roman" w:hAnsi="Times New Roman" w:cs="Times New Roman"/>
          <w:i/>
          <w:iCs/>
          <w:color w:val="000000"/>
        </w:rPr>
        <w:t> and </w:t>
      </w:r>
      <w:hyperlink r:id="rId68" w:anchor="S12.3" w:history="1">
        <w:r w:rsidRPr="00ED1831">
          <w:rPr>
            <w:rFonts w:ascii="Times New Roman" w:eastAsia="Times New Roman" w:hAnsi="Times New Roman" w:cs="Times New Roman"/>
            <w:i/>
            <w:iCs/>
            <w:color w:val="0000FF"/>
            <w:u w:val="single"/>
          </w:rPr>
          <w:t>Clinical Pharmacology (12.3)</w:t>
        </w:r>
      </w:hyperlink>
      <w:r w:rsidRPr="00ED1831">
        <w:rPr>
          <w:rFonts w:ascii="Times New Roman" w:eastAsia="Times New Roman" w:hAnsi="Times New Roman" w:cs="Times New Roman"/>
          <w:i/>
          <w:iCs/>
          <w:color w:val="000000"/>
        </w:rPr>
        <w:t>].</w:t>
      </w:r>
    </w:p>
    <w:p w14:paraId="6A0297F3"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13" w:name="S2.4"/>
      <w:bookmarkStart w:id="14" w:name="section-2.4"/>
      <w:bookmarkEnd w:id="13"/>
      <w:bookmarkEnd w:id="14"/>
      <w:r w:rsidRPr="00ED1831">
        <w:rPr>
          <w:rFonts w:ascii="Times New Roman" w:eastAsia="Times New Roman" w:hAnsi="Times New Roman" w:cs="Times New Roman"/>
          <w:b/>
          <w:bCs/>
          <w:color w:val="000000"/>
        </w:rPr>
        <w:t>2.4 Recommended Dosage for Pediatric Patients 4 Years to Less Than 12 Years with Hepatic Impairment</w:t>
      </w:r>
    </w:p>
    <w:p w14:paraId="008C354D" w14:textId="77777777" w:rsidR="00ED1831" w:rsidRPr="00ED1831" w:rsidRDefault="00ED1831" w:rsidP="00ED1831">
      <w:pPr>
        <w:pBdr>
          <w:left w:val="single" w:sz="6" w:space="0" w:color="auto"/>
        </w:pBd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The recommended dosage of OXBRYTA in pediatric patients 4 years to less than 12 years with severe hepatic impairment (Child Pugh C) is described in Table 2.</w:t>
      </w:r>
    </w:p>
    <w:p w14:paraId="1DE5844C" w14:textId="77777777" w:rsidR="00ED1831" w:rsidRPr="00ED1831" w:rsidRDefault="00ED1831" w:rsidP="00ED1831">
      <w:pPr>
        <w:pBdr>
          <w:left w:val="single" w:sz="6" w:space="0" w:color="auto"/>
        </w:pBd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No dosage adjustment of OXBRYTA is required for patients with mild or moderate hepatic impairment </w:t>
      </w:r>
      <w:r w:rsidRPr="00ED1831">
        <w:rPr>
          <w:rFonts w:ascii="Times New Roman" w:eastAsia="Times New Roman" w:hAnsi="Times New Roman" w:cs="Times New Roman"/>
          <w:i/>
          <w:iCs/>
          <w:color w:val="000000"/>
        </w:rPr>
        <w:t>[see </w:t>
      </w:r>
      <w:hyperlink r:id="rId69" w:anchor="S8.6" w:history="1">
        <w:r w:rsidRPr="00ED1831">
          <w:rPr>
            <w:rFonts w:ascii="Times New Roman" w:eastAsia="Times New Roman" w:hAnsi="Times New Roman" w:cs="Times New Roman"/>
            <w:i/>
            <w:iCs/>
            <w:color w:val="0000FF"/>
            <w:u w:val="single"/>
          </w:rPr>
          <w:t>Use in Specific Populations (8.6)</w:t>
        </w:r>
      </w:hyperlink>
      <w:r w:rsidRPr="00ED1831">
        <w:rPr>
          <w:rFonts w:ascii="Times New Roman" w:eastAsia="Times New Roman" w:hAnsi="Times New Roman" w:cs="Times New Roman"/>
          <w:i/>
          <w:iCs/>
          <w:color w:val="000000"/>
        </w:rPr>
        <w:t> and </w:t>
      </w:r>
      <w:hyperlink r:id="rId70" w:anchor="S12.3" w:history="1">
        <w:r w:rsidRPr="00ED1831">
          <w:rPr>
            <w:rFonts w:ascii="Times New Roman" w:eastAsia="Times New Roman" w:hAnsi="Times New Roman" w:cs="Times New Roman"/>
            <w:i/>
            <w:iCs/>
            <w:color w:val="0000FF"/>
            <w:u w:val="single"/>
          </w:rPr>
          <w:t>Clinical Pharmacology (12.3)</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w:t>
      </w:r>
    </w:p>
    <w:tbl>
      <w:tblPr>
        <w:tblW w:w="3750" w:type="pct"/>
        <w:tblCellMar>
          <w:top w:w="15" w:type="dxa"/>
          <w:left w:w="15" w:type="dxa"/>
          <w:bottom w:w="15" w:type="dxa"/>
          <w:right w:w="15" w:type="dxa"/>
        </w:tblCellMar>
        <w:tblLook w:val="04A0" w:firstRow="1" w:lastRow="0" w:firstColumn="1" w:lastColumn="0" w:noHBand="0" w:noVBand="1"/>
      </w:tblPr>
      <w:tblGrid>
        <w:gridCol w:w="1854"/>
        <w:gridCol w:w="5166"/>
      </w:tblGrid>
      <w:tr w:rsidR="00ED1831" w:rsidRPr="00ED1831" w14:paraId="6DA10B23" w14:textId="77777777" w:rsidTr="00ED1831">
        <w:trPr>
          <w:tblHeader/>
        </w:trPr>
        <w:tc>
          <w:tcPr>
            <w:tcW w:w="0" w:type="auto"/>
            <w:gridSpan w:val="2"/>
            <w:tcBorders>
              <w:top w:val="nil"/>
              <w:left w:val="nil"/>
              <w:bottom w:val="nil"/>
              <w:right w:val="nil"/>
            </w:tcBorders>
            <w:vAlign w:val="center"/>
            <w:hideMark/>
          </w:tcPr>
          <w:p w14:paraId="0911095E" w14:textId="77777777" w:rsidR="00ED1831" w:rsidRPr="00ED1831" w:rsidRDefault="00ED1831" w:rsidP="00ED1831">
            <w:pPr>
              <w:spacing w:before="150" w:after="360"/>
              <w:jc w:val="center"/>
              <w:rPr>
                <w:rFonts w:ascii="Times New Roman" w:eastAsia="Times New Roman" w:hAnsi="Times New Roman" w:cs="Times New Roman"/>
                <w:b/>
                <w:bCs/>
              </w:rPr>
            </w:pPr>
            <w:bookmarkStart w:id="15" w:name="_Reftable2"/>
            <w:bookmarkEnd w:id="15"/>
            <w:r w:rsidRPr="00ED1831">
              <w:rPr>
                <w:rFonts w:ascii="Times New Roman" w:eastAsia="Times New Roman" w:hAnsi="Times New Roman" w:cs="Times New Roman"/>
                <w:b/>
                <w:bCs/>
              </w:rPr>
              <w:t>Table 2: Recommended OXBRYTA Dosage in Pediatric Patients 4 Years to Less Than 12 Years with Severe Hepatic Impairment (Child Pugh C)</w:t>
            </w:r>
          </w:p>
        </w:tc>
      </w:tr>
      <w:tr w:rsidR="00ED1831" w:rsidRPr="00ED1831" w14:paraId="0244633C" w14:textId="77777777" w:rsidTr="00ED1831">
        <w:trPr>
          <w:tblHeader/>
        </w:trPr>
        <w:tc>
          <w:tcPr>
            <w:tcW w:w="0" w:type="auto"/>
            <w:tcBorders>
              <w:top w:val="single" w:sz="6" w:space="0" w:color="000000"/>
              <w:left w:val="single" w:sz="6" w:space="0" w:color="000000"/>
              <w:bottom w:val="single" w:sz="6" w:space="0" w:color="000000"/>
              <w:right w:val="single" w:sz="6" w:space="0" w:color="000000"/>
            </w:tcBorders>
            <w:hideMark/>
          </w:tcPr>
          <w:p w14:paraId="563537CF" w14:textId="77777777" w:rsidR="00ED1831" w:rsidRPr="00ED1831" w:rsidRDefault="00ED1831" w:rsidP="00ED1831">
            <w:pPr>
              <w:spacing w:after="360"/>
              <w:rPr>
                <w:rFonts w:ascii="Times New Roman" w:eastAsia="Times New Roman" w:hAnsi="Times New Roman" w:cs="Times New Roman"/>
                <w:b/>
                <w:bCs/>
              </w:rPr>
            </w:pPr>
            <w:r w:rsidRPr="00ED1831">
              <w:rPr>
                <w:rFonts w:ascii="Times New Roman" w:eastAsia="Times New Roman" w:hAnsi="Times New Roman" w:cs="Times New Roman"/>
                <w:b/>
                <w:bCs/>
              </w:rPr>
              <w:t>Body Weight</w:t>
            </w:r>
          </w:p>
        </w:tc>
        <w:tc>
          <w:tcPr>
            <w:tcW w:w="0" w:type="auto"/>
            <w:tcBorders>
              <w:top w:val="single" w:sz="6" w:space="0" w:color="000000"/>
              <w:left w:val="single" w:sz="6" w:space="0" w:color="000000"/>
              <w:bottom w:val="single" w:sz="6" w:space="0" w:color="000000"/>
              <w:right w:val="single" w:sz="6" w:space="0" w:color="000000"/>
            </w:tcBorders>
            <w:hideMark/>
          </w:tcPr>
          <w:p w14:paraId="52AAEC9F" w14:textId="77777777" w:rsidR="00ED1831" w:rsidRPr="00ED1831" w:rsidRDefault="00ED1831" w:rsidP="00ED1831">
            <w:pPr>
              <w:spacing w:after="360"/>
              <w:jc w:val="center"/>
              <w:rPr>
                <w:rFonts w:ascii="Times New Roman" w:eastAsia="Times New Roman" w:hAnsi="Times New Roman" w:cs="Times New Roman"/>
                <w:b/>
                <w:bCs/>
              </w:rPr>
            </w:pPr>
            <w:r w:rsidRPr="00ED1831">
              <w:rPr>
                <w:rFonts w:ascii="Times New Roman" w:eastAsia="Times New Roman" w:hAnsi="Times New Roman" w:cs="Times New Roman"/>
                <w:b/>
                <w:bCs/>
              </w:rPr>
              <w:t>Recommended Dose (once daily)</w:t>
            </w:r>
          </w:p>
        </w:tc>
      </w:tr>
      <w:tr w:rsidR="00ED1831" w:rsidRPr="00ED1831" w14:paraId="7D9B115F" w14:textId="77777777" w:rsidTr="00ED1831">
        <w:tc>
          <w:tcPr>
            <w:tcW w:w="0" w:type="auto"/>
            <w:tcBorders>
              <w:top w:val="nil"/>
              <w:left w:val="single" w:sz="6" w:space="0" w:color="000000"/>
              <w:bottom w:val="single" w:sz="6" w:space="0" w:color="000000"/>
              <w:right w:val="single" w:sz="6" w:space="0" w:color="000000"/>
            </w:tcBorders>
            <w:hideMark/>
          </w:tcPr>
          <w:p w14:paraId="149FB59D"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40 kg or greater</w:t>
            </w:r>
          </w:p>
        </w:tc>
        <w:tc>
          <w:tcPr>
            <w:tcW w:w="0" w:type="auto"/>
            <w:tcBorders>
              <w:top w:val="single" w:sz="6" w:space="0" w:color="000000"/>
              <w:left w:val="single" w:sz="6" w:space="0" w:color="000000"/>
              <w:bottom w:val="single" w:sz="6" w:space="0" w:color="000000"/>
              <w:right w:val="single" w:sz="6" w:space="0" w:color="000000"/>
            </w:tcBorders>
            <w:hideMark/>
          </w:tcPr>
          <w:p w14:paraId="4E070015"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1,000 mg (two 500 mg tablets)</w:t>
            </w:r>
            <w:r w:rsidRPr="00ED1831">
              <w:rPr>
                <w:rFonts w:ascii="Times New Roman" w:eastAsia="Times New Roman" w:hAnsi="Times New Roman" w:cs="Times New Roman"/>
              </w:rPr>
              <w:br/>
              <w:t>or</w:t>
            </w:r>
            <w:r w:rsidRPr="00ED1831">
              <w:rPr>
                <w:rFonts w:ascii="Times New Roman" w:eastAsia="Times New Roman" w:hAnsi="Times New Roman" w:cs="Times New Roman"/>
              </w:rPr>
              <w:br/>
              <w:t>900 mg (three 300 mg tablets for oral suspension or three 300 mg tablets)</w:t>
            </w:r>
          </w:p>
        </w:tc>
      </w:tr>
      <w:tr w:rsidR="00ED1831" w:rsidRPr="00ED1831" w14:paraId="25F3B947" w14:textId="77777777" w:rsidTr="00ED1831">
        <w:tc>
          <w:tcPr>
            <w:tcW w:w="0" w:type="auto"/>
            <w:tcBorders>
              <w:top w:val="nil"/>
              <w:left w:val="single" w:sz="6" w:space="0" w:color="000000"/>
              <w:bottom w:val="single" w:sz="6" w:space="0" w:color="000000"/>
              <w:right w:val="single" w:sz="6" w:space="0" w:color="000000"/>
            </w:tcBorders>
            <w:hideMark/>
          </w:tcPr>
          <w:p w14:paraId="40F6715B"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20 kg to less than 40 kg</w:t>
            </w:r>
          </w:p>
        </w:tc>
        <w:tc>
          <w:tcPr>
            <w:tcW w:w="0" w:type="auto"/>
            <w:tcBorders>
              <w:top w:val="single" w:sz="6" w:space="0" w:color="000000"/>
              <w:left w:val="single" w:sz="6" w:space="0" w:color="000000"/>
              <w:bottom w:val="single" w:sz="6" w:space="0" w:color="000000"/>
              <w:right w:val="single" w:sz="6" w:space="0" w:color="000000"/>
            </w:tcBorders>
            <w:hideMark/>
          </w:tcPr>
          <w:p w14:paraId="49679609"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600 mg</w:t>
            </w:r>
          </w:p>
        </w:tc>
      </w:tr>
      <w:tr w:rsidR="00ED1831" w:rsidRPr="00ED1831" w14:paraId="27DFB740" w14:textId="77777777" w:rsidTr="00ED1831">
        <w:tc>
          <w:tcPr>
            <w:tcW w:w="0" w:type="auto"/>
            <w:tcBorders>
              <w:top w:val="single" w:sz="6" w:space="0" w:color="000000"/>
              <w:left w:val="single" w:sz="6" w:space="0" w:color="000000"/>
              <w:bottom w:val="single" w:sz="6" w:space="0" w:color="000000"/>
              <w:right w:val="single" w:sz="6" w:space="0" w:color="000000"/>
            </w:tcBorders>
            <w:hideMark/>
          </w:tcPr>
          <w:p w14:paraId="1217A2C0"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lastRenderedPageBreak/>
              <w:t>10 kg to less than 20 kg</w:t>
            </w:r>
          </w:p>
        </w:tc>
        <w:tc>
          <w:tcPr>
            <w:tcW w:w="0" w:type="auto"/>
            <w:tcBorders>
              <w:top w:val="single" w:sz="6" w:space="0" w:color="000000"/>
              <w:left w:val="single" w:sz="6" w:space="0" w:color="000000"/>
              <w:bottom w:val="single" w:sz="6" w:space="0" w:color="000000"/>
              <w:right w:val="single" w:sz="6" w:space="0" w:color="000000"/>
            </w:tcBorders>
            <w:hideMark/>
          </w:tcPr>
          <w:p w14:paraId="2FCB5DF1"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300 mg</w:t>
            </w:r>
          </w:p>
        </w:tc>
      </w:tr>
    </w:tbl>
    <w:p w14:paraId="4C85DDC7"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16" w:name="S2.5"/>
      <w:bookmarkStart w:id="17" w:name="section-2.5"/>
      <w:bookmarkEnd w:id="16"/>
      <w:bookmarkEnd w:id="17"/>
      <w:r w:rsidRPr="00ED1831">
        <w:rPr>
          <w:rFonts w:ascii="Times New Roman" w:eastAsia="Times New Roman" w:hAnsi="Times New Roman" w:cs="Times New Roman"/>
          <w:b/>
          <w:bCs/>
          <w:color w:val="000000"/>
        </w:rPr>
        <w:t>2.5 Recommended Dosage of OXBRYTA for Adults and Pediatric Patients 12 Years and Older When Used with Concomitant Strong or Moderate CYP3A4 Inducers</w:t>
      </w:r>
    </w:p>
    <w:p w14:paraId="4699F8BA" w14:textId="77777777" w:rsidR="00ED1831" w:rsidRPr="00ED1831" w:rsidRDefault="00ED1831" w:rsidP="00ED1831">
      <w:pPr>
        <w:spacing w:before="144"/>
        <w:rPr>
          <w:rFonts w:ascii="Times New Roman" w:eastAsia="Times New Roman" w:hAnsi="Times New Roman" w:cs="Times New Roman"/>
          <w:color w:val="000000"/>
        </w:rPr>
      </w:pPr>
      <w:bookmarkStart w:id="18" w:name="ID_deadcae7-61ef-431a-9cd5-698992ded47b"/>
      <w:bookmarkStart w:id="19" w:name="section-2.5.1"/>
      <w:bookmarkEnd w:id="18"/>
      <w:bookmarkEnd w:id="19"/>
      <w:r w:rsidRPr="00ED1831">
        <w:rPr>
          <w:rFonts w:ascii="Times New Roman" w:eastAsia="Times New Roman" w:hAnsi="Times New Roman" w:cs="Times New Roman"/>
          <w:color w:val="000000"/>
        </w:rPr>
        <w:t>CYP3A4 Inducers</w:t>
      </w:r>
    </w:p>
    <w:p w14:paraId="1BE7E4D1"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Avoid concomitant use of strong or moderate CYP3A4 inducers with OXBRYTA </w:t>
      </w:r>
      <w:r w:rsidRPr="00ED1831">
        <w:rPr>
          <w:rFonts w:ascii="Times New Roman" w:eastAsia="Times New Roman" w:hAnsi="Times New Roman" w:cs="Times New Roman"/>
          <w:i/>
          <w:iCs/>
          <w:color w:val="000000"/>
        </w:rPr>
        <w:t>[see </w:t>
      </w:r>
      <w:hyperlink r:id="rId71" w:anchor="S7.1" w:history="1">
        <w:r w:rsidRPr="00ED1831">
          <w:rPr>
            <w:rFonts w:ascii="Times New Roman" w:eastAsia="Times New Roman" w:hAnsi="Times New Roman" w:cs="Times New Roman"/>
            <w:i/>
            <w:iCs/>
            <w:color w:val="0000FF"/>
            <w:u w:val="single"/>
          </w:rPr>
          <w:t>Drug Interactions (7.1)</w:t>
        </w:r>
      </w:hyperlink>
      <w:r w:rsidRPr="00ED1831">
        <w:rPr>
          <w:rFonts w:ascii="Times New Roman" w:eastAsia="Times New Roman" w:hAnsi="Times New Roman" w:cs="Times New Roman"/>
          <w:i/>
          <w:iCs/>
          <w:color w:val="000000"/>
        </w:rPr>
        <w:t> and </w:t>
      </w:r>
      <w:hyperlink r:id="rId72" w:anchor="S12.3" w:history="1">
        <w:r w:rsidRPr="00ED1831">
          <w:rPr>
            <w:rFonts w:ascii="Times New Roman" w:eastAsia="Times New Roman" w:hAnsi="Times New Roman" w:cs="Times New Roman"/>
            <w:i/>
            <w:iCs/>
            <w:color w:val="0000FF"/>
            <w:u w:val="single"/>
          </w:rPr>
          <w:t>Clinical Pharmacology (12.3)</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w:t>
      </w:r>
    </w:p>
    <w:p w14:paraId="2A41F953"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If concomitant use of strong CYP3A4 inducers is unavoidable, the recommended dosage of OXBRYTA is 2,500 mg orally once daily. If concomitant use of moderate CYP3A4 inducers is unavoidable, the recommended dosage of OXBRYTA is 2,000 mg orally once daily.</w:t>
      </w:r>
    </w:p>
    <w:p w14:paraId="40069EFF"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20" w:name="S2.6"/>
      <w:bookmarkStart w:id="21" w:name="section-2.6"/>
      <w:bookmarkEnd w:id="20"/>
      <w:bookmarkEnd w:id="21"/>
      <w:r w:rsidRPr="00ED1831">
        <w:rPr>
          <w:rFonts w:ascii="Times New Roman" w:eastAsia="Times New Roman" w:hAnsi="Times New Roman" w:cs="Times New Roman"/>
          <w:b/>
          <w:bCs/>
          <w:color w:val="000000"/>
        </w:rPr>
        <w:t>2.6 Recommended Dosage of OXBRYTA for Pediatric Patients 4 Years to Less Than 12 Years When Used with Concomitant Strong or Moderate CYP3A4 Inducers</w:t>
      </w:r>
    </w:p>
    <w:p w14:paraId="590E7F2B" w14:textId="77777777" w:rsidR="00ED1831" w:rsidRPr="00ED1831" w:rsidRDefault="00ED1831" w:rsidP="00ED1831">
      <w:pPr>
        <w:pBdr>
          <w:left w:val="single" w:sz="6" w:space="0" w:color="auto"/>
        </w:pBdr>
        <w:spacing w:before="144"/>
        <w:rPr>
          <w:rFonts w:ascii="Times New Roman" w:eastAsia="Times New Roman" w:hAnsi="Times New Roman" w:cs="Times New Roman"/>
          <w:color w:val="000000"/>
        </w:rPr>
      </w:pPr>
      <w:bookmarkStart w:id="22" w:name="ID_de35abda-bccd-4cb9-8228-9e9c9a4510e9"/>
      <w:bookmarkStart w:id="23" w:name="section-2.6.1"/>
      <w:bookmarkEnd w:id="22"/>
      <w:bookmarkEnd w:id="23"/>
      <w:r w:rsidRPr="00ED1831">
        <w:rPr>
          <w:rFonts w:ascii="Times New Roman" w:eastAsia="Times New Roman" w:hAnsi="Times New Roman" w:cs="Times New Roman"/>
          <w:color w:val="000000"/>
        </w:rPr>
        <w:t>CYP3A4 Inducers</w:t>
      </w:r>
    </w:p>
    <w:p w14:paraId="1C3168FE" w14:textId="77777777" w:rsidR="00ED1831" w:rsidRPr="00ED1831" w:rsidRDefault="00ED1831" w:rsidP="00ED1831">
      <w:pPr>
        <w:pBdr>
          <w:left w:val="single" w:sz="6" w:space="0" w:color="auto"/>
        </w:pBd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Avoid concomitant use of strong or moderate CYP3A4 inducers with OXBRYTA </w:t>
      </w:r>
      <w:r w:rsidRPr="00ED1831">
        <w:rPr>
          <w:rFonts w:ascii="Times New Roman" w:eastAsia="Times New Roman" w:hAnsi="Times New Roman" w:cs="Times New Roman"/>
          <w:i/>
          <w:iCs/>
          <w:color w:val="000000"/>
        </w:rPr>
        <w:t>[see </w:t>
      </w:r>
      <w:hyperlink r:id="rId73" w:anchor="S7.1" w:history="1">
        <w:r w:rsidRPr="00ED1831">
          <w:rPr>
            <w:rFonts w:ascii="Times New Roman" w:eastAsia="Times New Roman" w:hAnsi="Times New Roman" w:cs="Times New Roman"/>
            <w:i/>
            <w:iCs/>
            <w:color w:val="0000FF"/>
            <w:u w:val="single"/>
          </w:rPr>
          <w:t>Drug Interactions (7.1)</w:t>
        </w:r>
      </w:hyperlink>
      <w:r w:rsidRPr="00ED1831">
        <w:rPr>
          <w:rFonts w:ascii="Times New Roman" w:eastAsia="Times New Roman" w:hAnsi="Times New Roman" w:cs="Times New Roman"/>
          <w:i/>
          <w:iCs/>
          <w:color w:val="000000"/>
        </w:rPr>
        <w:t> and </w:t>
      </w:r>
      <w:hyperlink r:id="rId74" w:anchor="S12.3" w:history="1">
        <w:r w:rsidRPr="00ED1831">
          <w:rPr>
            <w:rFonts w:ascii="Times New Roman" w:eastAsia="Times New Roman" w:hAnsi="Times New Roman" w:cs="Times New Roman"/>
            <w:i/>
            <w:iCs/>
            <w:color w:val="0000FF"/>
            <w:u w:val="single"/>
          </w:rPr>
          <w:t>Clinical Pharmacology (12.3)</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 If concomitant use of strong or moderate CYP3A4 inducers is unavoidable, see </w:t>
      </w:r>
      <w:hyperlink r:id="rId75" w:anchor="_Reftable3" w:history="1">
        <w:r w:rsidRPr="00ED1831">
          <w:rPr>
            <w:rFonts w:ascii="Times New Roman" w:eastAsia="Times New Roman" w:hAnsi="Times New Roman" w:cs="Times New Roman"/>
            <w:color w:val="0000FF"/>
            <w:u w:val="single"/>
          </w:rPr>
          <w:t>Table 3</w:t>
        </w:r>
      </w:hyperlink>
      <w:r w:rsidRPr="00ED1831">
        <w:rPr>
          <w:rFonts w:ascii="Times New Roman" w:eastAsia="Times New Roman" w:hAnsi="Times New Roman" w:cs="Times New Roman"/>
          <w:color w:val="000000"/>
        </w:rPr>
        <w:t> for dosage.</w:t>
      </w:r>
    </w:p>
    <w:tbl>
      <w:tblPr>
        <w:tblW w:w="3750" w:type="pct"/>
        <w:tblCellMar>
          <w:top w:w="15" w:type="dxa"/>
          <w:left w:w="15" w:type="dxa"/>
          <w:bottom w:w="15" w:type="dxa"/>
          <w:right w:w="15" w:type="dxa"/>
        </w:tblCellMar>
        <w:tblLook w:val="04A0" w:firstRow="1" w:lastRow="0" w:firstColumn="1" w:lastColumn="0" w:noHBand="0" w:noVBand="1"/>
      </w:tblPr>
      <w:tblGrid>
        <w:gridCol w:w="1177"/>
        <w:gridCol w:w="2904"/>
        <w:gridCol w:w="2939"/>
      </w:tblGrid>
      <w:tr w:rsidR="00ED1831" w:rsidRPr="00ED1831" w14:paraId="3D273381" w14:textId="77777777" w:rsidTr="00ED1831">
        <w:trPr>
          <w:trHeight w:val="230"/>
          <w:tblHeader/>
        </w:trPr>
        <w:tc>
          <w:tcPr>
            <w:tcW w:w="0" w:type="auto"/>
            <w:gridSpan w:val="3"/>
            <w:vMerge w:val="restart"/>
            <w:tcBorders>
              <w:top w:val="nil"/>
              <w:left w:val="nil"/>
              <w:bottom w:val="nil"/>
              <w:right w:val="nil"/>
            </w:tcBorders>
            <w:vAlign w:val="center"/>
            <w:hideMark/>
          </w:tcPr>
          <w:p w14:paraId="2E959FFB" w14:textId="77777777" w:rsidR="00ED1831" w:rsidRPr="00ED1831" w:rsidRDefault="00ED1831" w:rsidP="00ED1831">
            <w:pPr>
              <w:spacing w:before="150" w:after="360"/>
              <w:jc w:val="center"/>
              <w:rPr>
                <w:rFonts w:ascii="Times New Roman" w:eastAsia="Times New Roman" w:hAnsi="Times New Roman" w:cs="Times New Roman"/>
                <w:b/>
                <w:bCs/>
              </w:rPr>
            </w:pPr>
            <w:bookmarkStart w:id="24" w:name="_Reftable3"/>
            <w:bookmarkEnd w:id="24"/>
            <w:r w:rsidRPr="00ED1831">
              <w:rPr>
                <w:rFonts w:ascii="Times New Roman" w:eastAsia="Times New Roman" w:hAnsi="Times New Roman" w:cs="Times New Roman"/>
                <w:b/>
                <w:bCs/>
              </w:rPr>
              <w:t>Table 3: OXBRYTA Recommended Dosage for Pediatric Patients 4 Years to Less Than 12 Years When Used with Concomitant Strong or Moderate CYP3A4 Inducers</w:t>
            </w:r>
          </w:p>
        </w:tc>
      </w:tr>
      <w:tr w:rsidR="00ED1831" w:rsidRPr="00ED1831" w14:paraId="2948CC14" w14:textId="77777777" w:rsidTr="00ED1831">
        <w:trPr>
          <w:tblHeader/>
        </w:trPr>
        <w:tc>
          <w:tcPr>
            <w:tcW w:w="0" w:type="auto"/>
            <w:vMerge w:val="restart"/>
            <w:tcBorders>
              <w:top w:val="single" w:sz="24" w:space="0" w:color="000000"/>
              <w:left w:val="single" w:sz="6" w:space="0" w:color="000000"/>
              <w:bottom w:val="single" w:sz="6" w:space="0" w:color="000000"/>
              <w:right w:val="single" w:sz="6" w:space="0" w:color="000000"/>
            </w:tcBorders>
            <w:vAlign w:val="center"/>
            <w:hideMark/>
          </w:tcPr>
          <w:p w14:paraId="23EFB51B" w14:textId="77777777" w:rsidR="00ED1831" w:rsidRPr="00ED1831" w:rsidRDefault="00ED1831" w:rsidP="00ED1831">
            <w:pPr>
              <w:spacing w:after="360"/>
              <w:jc w:val="center"/>
              <w:rPr>
                <w:rFonts w:ascii="Times New Roman" w:eastAsia="Times New Roman" w:hAnsi="Times New Roman" w:cs="Times New Roman"/>
                <w:b/>
                <w:bCs/>
              </w:rPr>
            </w:pPr>
            <w:r w:rsidRPr="00ED1831">
              <w:rPr>
                <w:rFonts w:ascii="Times New Roman" w:eastAsia="Times New Roman" w:hAnsi="Times New Roman" w:cs="Times New Roman"/>
                <w:b/>
                <w:bCs/>
              </w:rPr>
              <w:t>Body Weight</w:t>
            </w:r>
          </w:p>
        </w:tc>
        <w:tc>
          <w:tcPr>
            <w:tcW w:w="0" w:type="auto"/>
            <w:gridSpan w:val="2"/>
            <w:tcBorders>
              <w:top w:val="single" w:sz="24" w:space="0" w:color="000000"/>
              <w:left w:val="nil"/>
              <w:bottom w:val="single" w:sz="6" w:space="0" w:color="000000"/>
              <w:right w:val="single" w:sz="6" w:space="0" w:color="000000"/>
            </w:tcBorders>
            <w:hideMark/>
          </w:tcPr>
          <w:p w14:paraId="3E038D19" w14:textId="77777777" w:rsidR="00ED1831" w:rsidRPr="00ED1831" w:rsidRDefault="00ED1831" w:rsidP="00ED1831">
            <w:pPr>
              <w:spacing w:after="360"/>
              <w:jc w:val="center"/>
              <w:rPr>
                <w:rFonts w:ascii="Times New Roman" w:eastAsia="Times New Roman" w:hAnsi="Times New Roman" w:cs="Times New Roman"/>
                <w:b/>
                <w:bCs/>
              </w:rPr>
            </w:pPr>
            <w:r w:rsidRPr="00ED1831">
              <w:rPr>
                <w:rFonts w:ascii="Times New Roman" w:eastAsia="Times New Roman" w:hAnsi="Times New Roman" w:cs="Times New Roman"/>
                <w:b/>
                <w:bCs/>
              </w:rPr>
              <w:t>Recommended Dose (once daily)</w:t>
            </w:r>
          </w:p>
        </w:tc>
      </w:tr>
      <w:tr w:rsidR="00ED1831" w:rsidRPr="00ED1831" w14:paraId="6FBC0596" w14:textId="77777777" w:rsidTr="00ED1831">
        <w:trPr>
          <w:tblHeader/>
        </w:trPr>
        <w:tc>
          <w:tcPr>
            <w:tcW w:w="0" w:type="auto"/>
            <w:vMerge/>
            <w:tcBorders>
              <w:top w:val="single" w:sz="24" w:space="0" w:color="000000"/>
              <w:left w:val="single" w:sz="6" w:space="0" w:color="000000"/>
              <w:bottom w:val="single" w:sz="6" w:space="0" w:color="000000"/>
              <w:right w:val="single" w:sz="6" w:space="0" w:color="000000"/>
            </w:tcBorders>
            <w:vAlign w:val="center"/>
            <w:hideMark/>
          </w:tcPr>
          <w:p w14:paraId="68C9E67E" w14:textId="77777777" w:rsidR="00ED1831" w:rsidRPr="00ED1831" w:rsidRDefault="00ED1831" w:rsidP="00ED1831">
            <w:pPr>
              <w:spacing w:after="360"/>
              <w:rPr>
                <w:rFonts w:ascii="Times New Roman" w:eastAsia="Times New Roman" w:hAnsi="Times New Roman" w:cs="Times New Roman"/>
                <w:b/>
                <w:bCs/>
              </w:rPr>
            </w:pPr>
          </w:p>
        </w:tc>
        <w:tc>
          <w:tcPr>
            <w:tcW w:w="0" w:type="auto"/>
            <w:tcBorders>
              <w:top w:val="nil"/>
              <w:left w:val="nil"/>
              <w:bottom w:val="single" w:sz="6" w:space="0" w:color="000000"/>
              <w:right w:val="single" w:sz="6" w:space="0" w:color="000000"/>
            </w:tcBorders>
            <w:hideMark/>
          </w:tcPr>
          <w:p w14:paraId="249C57B3" w14:textId="77777777" w:rsidR="00ED1831" w:rsidRPr="00ED1831" w:rsidRDefault="00ED1831" w:rsidP="00ED1831">
            <w:pPr>
              <w:spacing w:after="360"/>
              <w:jc w:val="center"/>
              <w:rPr>
                <w:rFonts w:ascii="Times New Roman" w:eastAsia="Times New Roman" w:hAnsi="Times New Roman" w:cs="Times New Roman"/>
                <w:b/>
                <w:bCs/>
              </w:rPr>
            </w:pPr>
            <w:r w:rsidRPr="00ED1831">
              <w:rPr>
                <w:rFonts w:ascii="Times New Roman" w:eastAsia="Times New Roman" w:hAnsi="Times New Roman" w:cs="Times New Roman"/>
                <w:b/>
                <w:bCs/>
              </w:rPr>
              <w:t>Concomitant Use of Strong CYP3A4 Inducers</w:t>
            </w:r>
          </w:p>
        </w:tc>
        <w:tc>
          <w:tcPr>
            <w:tcW w:w="0" w:type="auto"/>
            <w:tcBorders>
              <w:top w:val="nil"/>
              <w:left w:val="nil"/>
              <w:bottom w:val="single" w:sz="6" w:space="0" w:color="000000"/>
              <w:right w:val="single" w:sz="6" w:space="0" w:color="000000"/>
            </w:tcBorders>
            <w:hideMark/>
          </w:tcPr>
          <w:p w14:paraId="1CDD4565" w14:textId="77777777" w:rsidR="00ED1831" w:rsidRPr="00ED1831" w:rsidRDefault="00ED1831" w:rsidP="00ED1831">
            <w:pPr>
              <w:spacing w:after="360"/>
              <w:jc w:val="center"/>
              <w:rPr>
                <w:rFonts w:ascii="Times New Roman" w:eastAsia="Times New Roman" w:hAnsi="Times New Roman" w:cs="Times New Roman"/>
                <w:b/>
                <w:bCs/>
              </w:rPr>
            </w:pPr>
            <w:r w:rsidRPr="00ED1831">
              <w:rPr>
                <w:rFonts w:ascii="Times New Roman" w:eastAsia="Times New Roman" w:hAnsi="Times New Roman" w:cs="Times New Roman"/>
                <w:b/>
                <w:bCs/>
              </w:rPr>
              <w:t>Concomitant Use of Moderate CYP3A4 Inducers</w:t>
            </w:r>
          </w:p>
        </w:tc>
      </w:tr>
      <w:tr w:rsidR="00ED1831" w:rsidRPr="00ED1831" w14:paraId="78B3E59D" w14:textId="77777777" w:rsidTr="00ED1831">
        <w:tc>
          <w:tcPr>
            <w:tcW w:w="0" w:type="auto"/>
            <w:tcBorders>
              <w:top w:val="single" w:sz="6" w:space="0" w:color="000000"/>
              <w:left w:val="single" w:sz="6" w:space="0" w:color="000000"/>
              <w:bottom w:val="single" w:sz="6" w:space="0" w:color="000000"/>
              <w:right w:val="single" w:sz="6" w:space="0" w:color="000000"/>
            </w:tcBorders>
            <w:hideMark/>
          </w:tcPr>
          <w:p w14:paraId="1B2F39CA"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40 kg or greater</w:t>
            </w:r>
          </w:p>
        </w:tc>
        <w:tc>
          <w:tcPr>
            <w:tcW w:w="0" w:type="auto"/>
            <w:tcBorders>
              <w:top w:val="single" w:sz="6" w:space="0" w:color="000000"/>
              <w:left w:val="nil"/>
              <w:bottom w:val="single" w:sz="6" w:space="0" w:color="000000"/>
              <w:right w:val="single" w:sz="6" w:space="0" w:color="000000"/>
            </w:tcBorders>
            <w:hideMark/>
          </w:tcPr>
          <w:p w14:paraId="7DC8BC3E"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2,500 mg (five 500 mg tablets)</w:t>
            </w:r>
            <w:r w:rsidRPr="00ED1831">
              <w:rPr>
                <w:rFonts w:ascii="Times New Roman" w:eastAsia="Times New Roman" w:hAnsi="Times New Roman" w:cs="Times New Roman"/>
              </w:rPr>
              <w:br/>
              <w:t>or</w:t>
            </w:r>
            <w:r w:rsidRPr="00ED1831">
              <w:rPr>
                <w:rFonts w:ascii="Times New Roman" w:eastAsia="Times New Roman" w:hAnsi="Times New Roman" w:cs="Times New Roman"/>
              </w:rPr>
              <w:br/>
              <w:t>2,400 mg (eight 300 mg tablets for oral suspension or eight 300 mg tablets)</w:t>
            </w:r>
          </w:p>
        </w:tc>
        <w:tc>
          <w:tcPr>
            <w:tcW w:w="0" w:type="auto"/>
            <w:tcBorders>
              <w:top w:val="single" w:sz="6" w:space="0" w:color="000000"/>
              <w:left w:val="nil"/>
              <w:bottom w:val="single" w:sz="6" w:space="0" w:color="000000"/>
              <w:right w:val="single" w:sz="6" w:space="0" w:color="000000"/>
            </w:tcBorders>
            <w:hideMark/>
          </w:tcPr>
          <w:p w14:paraId="18EA89C4"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2,000 mg (four 500 mg tablets)</w:t>
            </w:r>
            <w:r w:rsidRPr="00ED1831">
              <w:rPr>
                <w:rFonts w:ascii="Times New Roman" w:eastAsia="Times New Roman" w:hAnsi="Times New Roman" w:cs="Times New Roman"/>
              </w:rPr>
              <w:br/>
              <w:t>or</w:t>
            </w:r>
            <w:r w:rsidRPr="00ED1831">
              <w:rPr>
                <w:rFonts w:ascii="Times New Roman" w:eastAsia="Times New Roman" w:hAnsi="Times New Roman" w:cs="Times New Roman"/>
              </w:rPr>
              <w:br/>
              <w:t>2,100 mg (seven 300 mg tablets for oral suspension or seven 300 mg tablets)</w:t>
            </w:r>
          </w:p>
        </w:tc>
      </w:tr>
      <w:tr w:rsidR="00ED1831" w:rsidRPr="00ED1831" w14:paraId="748AE062" w14:textId="77777777" w:rsidTr="00ED1831">
        <w:tc>
          <w:tcPr>
            <w:tcW w:w="0" w:type="auto"/>
            <w:tcBorders>
              <w:top w:val="nil"/>
              <w:left w:val="single" w:sz="6" w:space="0" w:color="000000"/>
              <w:bottom w:val="single" w:sz="6" w:space="0" w:color="000000"/>
              <w:right w:val="single" w:sz="6" w:space="0" w:color="000000"/>
            </w:tcBorders>
            <w:hideMark/>
          </w:tcPr>
          <w:p w14:paraId="287CA7D4"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lastRenderedPageBreak/>
              <w:t>20 kg to less than 40 kg</w:t>
            </w:r>
          </w:p>
        </w:tc>
        <w:tc>
          <w:tcPr>
            <w:tcW w:w="0" w:type="auto"/>
            <w:tcBorders>
              <w:top w:val="nil"/>
              <w:left w:val="nil"/>
              <w:bottom w:val="single" w:sz="6" w:space="0" w:color="000000"/>
              <w:right w:val="single" w:sz="6" w:space="0" w:color="000000"/>
            </w:tcBorders>
            <w:hideMark/>
          </w:tcPr>
          <w:p w14:paraId="513F4A27"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1,500 mg</w:t>
            </w:r>
          </w:p>
        </w:tc>
        <w:tc>
          <w:tcPr>
            <w:tcW w:w="0" w:type="auto"/>
            <w:tcBorders>
              <w:top w:val="nil"/>
              <w:left w:val="nil"/>
              <w:bottom w:val="single" w:sz="6" w:space="0" w:color="000000"/>
              <w:right w:val="single" w:sz="6" w:space="0" w:color="000000"/>
            </w:tcBorders>
            <w:hideMark/>
          </w:tcPr>
          <w:p w14:paraId="040CA7B8"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1,200 mg</w:t>
            </w:r>
          </w:p>
        </w:tc>
      </w:tr>
      <w:tr w:rsidR="00ED1831" w:rsidRPr="00ED1831" w14:paraId="561D2F40" w14:textId="77777777" w:rsidTr="00ED1831">
        <w:tc>
          <w:tcPr>
            <w:tcW w:w="0" w:type="auto"/>
            <w:tcBorders>
              <w:top w:val="nil"/>
              <w:left w:val="single" w:sz="6" w:space="0" w:color="000000"/>
              <w:bottom w:val="single" w:sz="24" w:space="0" w:color="000000"/>
              <w:right w:val="single" w:sz="6" w:space="0" w:color="000000"/>
            </w:tcBorders>
            <w:hideMark/>
          </w:tcPr>
          <w:p w14:paraId="0ECF05B1"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10 kg to less than 20 kg</w:t>
            </w:r>
          </w:p>
        </w:tc>
        <w:tc>
          <w:tcPr>
            <w:tcW w:w="0" w:type="auto"/>
            <w:tcBorders>
              <w:top w:val="nil"/>
              <w:left w:val="nil"/>
              <w:bottom w:val="single" w:sz="24" w:space="0" w:color="000000"/>
              <w:right w:val="single" w:sz="6" w:space="0" w:color="000000"/>
            </w:tcBorders>
            <w:hideMark/>
          </w:tcPr>
          <w:p w14:paraId="371A14F8"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900 mg</w:t>
            </w:r>
          </w:p>
        </w:tc>
        <w:tc>
          <w:tcPr>
            <w:tcW w:w="0" w:type="auto"/>
            <w:tcBorders>
              <w:top w:val="nil"/>
              <w:left w:val="nil"/>
              <w:bottom w:val="single" w:sz="24" w:space="0" w:color="000000"/>
              <w:right w:val="single" w:sz="6" w:space="0" w:color="000000"/>
            </w:tcBorders>
            <w:hideMark/>
          </w:tcPr>
          <w:p w14:paraId="7EA3345F"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900 mg</w:t>
            </w:r>
          </w:p>
        </w:tc>
      </w:tr>
    </w:tbl>
    <w:p w14:paraId="38AA8524"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25" w:name="S2.7"/>
      <w:bookmarkStart w:id="26" w:name="section-2.7"/>
      <w:bookmarkEnd w:id="25"/>
      <w:bookmarkEnd w:id="26"/>
      <w:r w:rsidRPr="00ED1831">
        <w:rPr>
          <w:rFonts w:ascii="Times New Roman" w:eastAsia="Times New Roman" w:hAnsi="Times New Roman" w:cs="Times New Roman"/>
          <w:b/>
          <w:bCs/>
          <w:color w:val="000000"/>
        </w:rPr>
        <w:t>2.7 Important Administration Instructions</w:t>
      </w:r>
    </w:p>
    <w:p w14:paraId="00C27639" w14:textId="77777777" w:rsidR="00ED1831" w:rsidRPr="00ED1831" w:rsidRDefault="00ED1831" w:rsidP="00ED1831">
      <w:pPr>
        <w:pBdr>
          <w:left w:val="single" w:sz="6" w:space="0" w:color="auto"/>
        </w:pBd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Administer OXBRYTA orally, once daily with or without food. If a dose is missed, or not administered entirely, resume dosing the following day.</w:t>
      </w:r>
    </w:p>
    <w:p w14:paraId="3F3E0867" w14:textId="77777777" w:rsidR="00ED1831" w:rsidRPr="00ED1831" w:rsidRDefault="00ED1831" w:rsidP="00ED1831">
      <w:pPr>
        <w:pBdr>
          <w:left w:val="single" w:sz="6" w:space="0" w:color="auto"/>
        </w:pBd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OXBRYTA may be given with or without hydroxyurea.</w:t>
      </w:r>
    </w:p>
    <w:p w14:paraId="49D52AE4" w14:textId="77777777" w:rsidR="00ED1831" w:rsidRPr="00ED1831" w:rsidRDefault="00ED1831" w:rsidP="00ED1831">
      <w:pPr>
        <w:pBdr>
          <w:left w:val="single" w:sz="6" w:space="0" w:color="auto"/>
        </w:pBdr>
        <w:spacing w:before="144"/>
        <w:rPr>
          <w:rFonts w:ascii="Times New Roman" w:eastAsia="Times New Roman" w:hAnsi="Times New Roman" w:cs="Times New Roman"/>
          <w:color w:val="000000"/>
        </w:rPr>
      </w:pPr>
      <w:bookmarkStart w:id="27" w:name="ID_2655a73e-a70d-4629-b37f-76e65feaf315"/>
      <w:bookmarkStart w:id="28" w:name="section-2.7.1"/>
      <w:bookmarkEnd w:id="27"/>
      <w:bookmarkEnd w:id="28"/>
      <w:r w:rsidRPr="00ED1831">
        <w:rPr>
          <w:rFonts w:ascii="Times New Roman" w:eastAsia="Times New Roman" w:hAnsi="Times New Roman" w:cs="Times New Roman"/>
          <w:color w:val="000000"/>
        </w:rPr>
        <w:t>OXBRYTA 300 mg and 500 mg Tablets</w:t>
      </w:r>
    </w:p>
    <w:p w14:paraId="11DB391C" w14:textId="77777777" w:rsidR="00ED1831" w:rsidRPr="00ED1831" w:rsidRDefault="00ED1831" w:rsidP="00ED1831">
      <w:pPr>
        <w:pBdr>
          <w:left w:val="single" w:sz="6" w:space="0" w:color="auto"/>
        </w:pBd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Patients should swallow OXBRYTA tablets whole. Do not cut, crush, or chew the tablets.</w:t>
      </w:r>
    </w:p>
    <w:p w14:paraId="222A9734" w14:textId="77777777" w:rsidR="00ED1831" w:rsidRPr="00ED1831" w:rsidRDefault="00ED1831" w:rsidP="00ED1831">
      <w:pPr>
        <w:pBdr>
          <w:left w:val="single" w:sz="6" w:space="0" w:color="auto"/>
        </w:pBdr>
        <w:spacing w:before="144"/>
        <w:rPr>
          <w:rFonts w:ascii="Times New Roman" w:eastAsia="Times New Roman" w:hAnsi="Times New Roman" w:cs="Times New Roman"/>
          <w:color w:val="000000"/>
        </w:rPr>
      </w:pPr>
      <w:bookmarkStart w:id="29" w:name="ID_ac2d796f-2d5a-4f0a-a737-9272c2657143"/>
      <w:bookmarkStart w:id="30" w:name="section-2.7.2"/>
      <w:bookmarkEnd w:id="29"/>
      <w:bookmarkEnd w:id="30"/>
      <w:r w:rsidRPr="00ED1831">
        <w:rPr>
          <w:rFonts w:ascii="Times New Roman" w:eastAsia="Times New Roman" w:hAnsi="Times New Roman" w:cs="Times New Roman"/>
          <w:color w:val="000000"/>
        </w:rPr>
        <w:t>OXBRYTA 300 mg Tablets for Oral Suspension</w:t>
      </w:r>
    </w:p>
    <w:p w14:paraId="56F769ED" w14:textId="77777777" w:rsidR="00ED1831" w:rsidRPr="00ED1831" w:rsidRDefault="00ED1831" w:rsidP="00ED1831">
      <w:pPr>
        <w:pBdr>
          <w:left w:val="single" w:sz="6" w:space="0" w:color="auto"/>
        </w:pBd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Patients should disperse tablets for oral suspension immediately before administration in a cup and in room temperature clear liquid (such as drinking water, clear soda, apple juice, clear electrolyte drinks, clear flavored drinks, or clear sports drinks) before swallowing.</w:t>
      </w:r>
    </w:p>
    <w:p w14:paraId="6CA7803D" w14:textId="77777777" w:rsidR="00ED1831" w:rsidRPr="00ED1831" w:rsidRDefault="00ED1831" w:rsidP="00ED1831">
      <w:pPr>
        <w:pBdr>
          <w:left w:val="single" w:sz="6" w:space="0" w:color="auto"/>
        </w:pBd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Do not swallow whole, cut, crush, or chew the tablets for oral suspension.</w:t>
      </w:r>
    </w:p>
    <w:tbl>
      <w:tblPr>
        <w:tblW w:w="3750" w:type="pct"/>
        <w:tblCellMar>
          <w:top w:w="15" w:type="dxa"/>
          <w:left w:w="15" w:type="dxa"/>
          <w:bottom w:w="15" w:type="dxa"/>
          <w:right w:w="15" w:type="dxa"/>
        </w:tblCellMar>
        <w:tblLook w:val="04A0" w:firstRow="1" w:lastRow="0" w:firstColumn="1" w:lastColumn="0" w:noHBand="0" w:noVBand="1"/>
      </w:tblPr>
      <w:tblGrid>
        <w:gridCol w:w="1968"/>
        <w:gridCol w:w="2223"/>
        <w:gridCol w:w="2817"/>
      </w:tblGrid>
      <w:tr w:rsidR="00ED1831" w:rsidRPr="00ED1831" w14:paraId="22295B39" w14:textId="77777777" w:rsidTr="00ED1831">
        <w:trPr>
          <w:tblHeader/>
        </w:trPr>
        <w:tc>
          <w:tcPr>
            <w:tcW w:w="0" w:type="auto"/>
            <w:tcBorders>
              <w:top w:val="single" w:sz="6" w:space="0" w:color="000000"/>
              <w:left w:val="single" w:sz="6" w:space="0" w:color="000000"/>
              <w:bottom w:val="single" w:sz="6" w:space="0" w:color="000000"/>
              <w:right w:val="single" w:sz="6" w:space="0" w:color="000000"/>
            </w:tcBorders>
            <w:hideMark/>
          </w:tcPr>
          <w:p w14:paraId="70EF8783" w14:textId="77777777" w:rsidR="00ED1831" w:rsidRPr="00ED1831" w:rsidRDefault="00ED1831" w:rsidP="00ED1831">
            <w:pPr>
              <w:spacing w:before="360" w:after="360"/>
              <w:jc w:val="center"/>
              <w:rPr>
                <w:rFonts w:ascii="Times New Roman" w:eastAsia="Times New Roman" w:hAnsi="Times New Roman" w:cs="Times New Roman"/>
                <w:b/>
                <w:bCs/>
              </w:rPr>
            </w:pPr>
            <w:r w:rsidRPr="00ED1831">
              <w:rPr>
                <w:rFonts w:ascii="Times New Roman" w:eastAsia="Times New Roman" w:hAnsi="Times New Roman" w:cs="Times New Roman"/>
                <w:b/>
                <w:bCs/>
              </w:rPr>
              <w:t>Recommended Daily Dose</w:t>
            </w:r>
          </w:p>
        </w:tc>
        <w:tc>
          <w:tcPr>
            <w:tcW w:w="0" w:type="auto"/>
            <w:tcBorders>
              <w:top w:val="single" w:sz="6" w:space="0" w:color="000000"/>
              <w:left w:val="single" w:sz="6" w:space="0" w:color="000000"/>
              <w:bottom w:val="single" w:sz="6" w:space="0" w:color="000000"/>
              <w:right w:val="single" w:sz="6" w:space="0" w:color="000000"/>
            </w:tcBorders>
            <w:hideMark/>
          </w:tcPr>
          <w:p w14:paraId="302EA740" w14:textId="77777777" w:rsidR="00ED1831" w:rsidRPr="00ED1831" w:rsidRDefault="00ED1831" w:rsidP="00ED1831">
            <w:pPr>
              <w:spacing w:before="360" w:after="360"/>
              <w:jc w:val="center"/>
              <w:rPr>
                <w:rFonts w:ascii="Times New Roman" w:eastAsia="Times New Roman" w:hAnsi="Times New Roman" w:cs="Times New Roman"/>
                <w:b/>
                <w:bCs/>
              </w:rPr>
            </w:pPr>
            <w:r w:rsidRPr="00ED1831">
              <w:rPr>
                <w:rFonts w:ascii="Times New Roman" w:eastAsia="Times New Roman" w:hAnsi="Times New Roman" w:cs="Times New Roman"/>
                <w:b/>
                <w:bCs/>
              </w:rPr>
              <w:t>Number of Tablets for Oral Suspension</w:t>
            </w:r>
          </w:p>
        </w:tc>
        <w:tc>
          <w:tcPr>
            <w:tcW w:w="0" w:type="auto"/>
            <w:tcBorders>
              <w:top w:val="single" w:sz="6" w:space="0" w:color="000000"/>
              <w:left w:val="single" w:sz="6" w:space="0" w:color="000000"/>
              <w:bottom w:val="single" w:sz="6" w:space="0" w:color="000000"/>
              <w:right w:val="single" w:sz="6" w:space="0" w:color="000000"/>
            </w:tcBorders>
            <w:hideMark/>
          </w:tcPr>
          <w:p w14:paraId="08D30311" w14:textId="77777777" w:rsidR="00ED1831" w:rsidRPr="00ED1831" w:rsidRDefault="00ED1831" w:rsidP="00ED1831">
            <w:pPr>
              <w:spacing w:before="360" w:after="360"/>
              <w:jc w:val="center"/>
              <w:rPr>
                <w:rFonts w:ascii="Times New Roman" w:eastAsia="Times New Roman" w:hAnsi="Times New Roman" w:cs="Times New Roman"/>
                <w:b/>
                <w:bCs/>
              </w:rPr>
            </w:pPr>
            <w:r w:rsidRPr="00ED1831">
              <w:rPr>
                <w:rFonts w:ascii="Times New Roman" w:eastAsia="Times New Roman" w:hAnsi="Times New Roman" w:cs="Times New Roman"/>
                <w:b/>
                <w:bCs/>
              </w:rPr>
              <w:t>Minimum Recommended Volume of Clear Drink</w:t>
            </w:r>
          </w:p>
        </w:tc>
      </w:tr>
      <w:tr w:rsidR="00ED1831" w:rsidRPr="00ED1831" w14:paraId="0AA48F8D" w14:textId="77777777" w:rsidTr="00ED1831">
        <w:tc>
          <w:tcPr>
            <w:tcW w:w="0" w:type="auto"/>
            <w:tcBorders>
              <w:top w:val="nil"/>
              <w:left w:val="single" w:sz="6" w:space="0" w:color="000000"/>
              <w:bottom w:val="single" w:sz="6" w:space="0" w:color="000000"/>
              <w:right w:val="single" w:sz="6" w:space="0" w:color="000000"/>
            </w:tcBorders>
            <w:hideMark/>
          </w:tcPr>
          <w:p w14:paraId="279D6E74"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300 mg</w:t>
            </w:r>
          </w:p>
        </w:tc>
        <w:tc>
          <w:tcPr>
            <w:tcW w:w="0" w:type="auto"/>
            <w:tcBorders>
              <w:top w:val="single" w:sz="6" w:space="0" w:color="000000"/>
              <w:left w:val="single" w:sz="6" w:space="0" w:color="000000"/>
              <w:bottom w:val="single" w:sz="6" w:space="0" w:color="000000"/>
              <w:right w:val="single" w:sz="6" w:space="0" w:color="000000"/>
            </w:tcBorders>
            <w:hideMark/>
          </w:tcPr>
          <w:p w14:paraId="5DA31C53"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hideMark/>
          </w:tcPr>
          <w:p w14:paraId="5582813B"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5 mL (1 teaspoon)</w:t>
            </w:r>
          </w:p>
        </w:tc>
      </w:tr>
      <w:tr w:rsidR="00ED1831" w:rsidRPr="00ED1831" w14:paraId="7258ED1E" w14:textId="77777777" w:rsidTr="00ED1831">
        <w:tc>
          <w:tcPr>
            <w:tcW w:w="0" w:type="auto"/>
            <w:tcBorders>
              <w:top w:val="nil"/>
              <w:left w:val="single" w:sz="6" w:space="0" w:color="000000"/>
              <w:bottom w:val="single" w:sz="6" w:space="0" w:color="000000"/>
              <w:right w:val="single" w:sz="6" w:space="0" w:color="000000"/>
            </w:tcBorders>
            <w:hideMark/>
          </w:tcPr>
          <w:p w14:paraId="6623C2E7"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600 mg</w:t>
            </w:r>
          </w:p>
        </w:tc>
        <w:tc>
          <w:tcPr>
            <w:tcW w:w="0" w:type="auto"/>
            <w:tcBorders>
              <w:top w:val="single" w:sz="6" w:space="0" w:color="000000"/>
              <w:left w:val="single" w:sz="6" w:space="0" w:color="000000"/>
              <w:bottom w:val="single" w:sz="6" w:space="0" w:color="000000"/>
              <w:right w:val="single" w:sz="6" w:space="0" w:color="000000"/>
            </w:tcBorders>
            <w:hideMark/>
          </w:tcPr>
          <w:p w14:paraId="04F8F7FB"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hideMark/>
          </w:tcPr>
          <w:p w14:paraId="5E4E066A"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10 mL (2 teaspoons)</w:t>
            </w:r>
          </w:p>
        </w:tc>
      </w:tr>
      <w:tr w:rsidR="00ED1831" w:rsidRPr="00ED1831" w14:paraId="745AFAE6" w14:textId="77777777" w:rsidTr="00ED1831">
        <w:tc>
          <w:tcPr>
            <w:tcW w:w="0" w:type="auto"/>
            <w:tcBorders>
              <w:top w:val="nil"/>
              <w:left w:val="single" w:sz="6" w:space="0" w:color="000000"/>
              <w:bottom w:val="single" w:sz="6" w:space="0" w:color="000000"/>
              <w:right w:val="single" w:sz="6" w:space="0" w:color="000000"/>
            </w:tcBorders>
            <w:hideMark/>
          </w:tcPr>
          <w:p w14:paraId="588D8538"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900 mg</w:t>
            </w:r>
          </w:p>
        </w:tc>
        <w:tc>
          <w:tcPr>
            <w:tcW w:w="0" w:type="auto"/>
            <w:tcBorders>
              <w:top w:val="single" w:sz="6" w:space="0" w:color="000000"/>
              <w:left w:val="single" w:sz="6" w:space="0" w:color="000000"/>
              <w:bottom w:val="single" w:sz="6" w:space="0" w:color="000000"/>
              <w:right w:val="single" w:sz="6" w:space="0" w:color="000000"/>
            </w:tcBorders>
            <w:hideMark/>
          </w:tcPr>
          <w:p w14:paraId="483C8FC8"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hideMark/>
          </w:tcPr>
          <w:p w14:paraId="5664CEB6"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15 mL (3 teaspoons)</w:t>
            </w:r>
          </w:p>
        </w:tc>
      </w:tr>
      <w:tr w:rsidR="00ED1831" w:rsidRPr="00ED1831" w14:paraId="1E243513" w14:textId="77777777" w:rsidTr="00ED1831">
        <w:tc>
          <w:tcPr>
            <w:tcW w:w="0" w:type="auto"/>
            <w:tcBorders>
              <w:top w:val="nil"/>
              <w:left w:val="single" w:sz="6" w:space="0" w:color="000000"/>
              <w:bottom w:val="single" w:sz="6" w:space="0" w:color="000000"/>
              <w:right w:val="single" w:sz="6" w:space="0" w:color="000000"/>
            </w:tcBorders>
            <w:hideMark/>
          </w:tcPr>
          <w:p w14:paraId="61584123"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1,200 mg</w:t>
            </w:r>
          </w:p>
        </w:tc>
        <w:tc>
          <w:tcPr>
            <w:tcW w:w="0" w:type="auto"/>
            <w:tcBorders>
              <w:top w:val="single" w:sz="6" w:space="0" w:color="000000"/>
              <w:left w:val="single" w:sz="6" w:space="0" w:color="000000"/>
              <w:bottom w:val="single" w:sz="6" w:space="0" w:color="000000"/>
              <w:right w:val="single" w:sz="6" w:space="0" w:color="000000"/>
            </w:tcBorders>
            <w:hideMark/>
          </w:tcPr>
          <w:p w14:paraId="11C7D806"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hideMark/>
          </w:tcPr>
          <w:p w14:paraId="3AB71EC5"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20 mL (4 teaspoons)</w:t>
            </w:r>
          </w:p>
        </w:tc>
      </w:tr>
      <w:tr w:rsidR="00ED1831" w:rsidRPr="00ED1831" w14:paraId="4FE94A08" w14:textId="77777777" w:rsidTr="00ED1831">
        <w:tc>
          <w:tcPr>
            <w:tcW w:w="0" w:type="auto"/>
            <w:tcBorders>
              <w:top w:val="nil"/>
              <w:left w:val="single" w:sz="6" w:space="0" w:color="000000"/>
              <w:bottom w:val="single" w:sz="6" w:space="0" w:color="000000"/>
              <w:right w:val="single" w:sz="6" w:space="0" w:color="000000"/>
            </w:tcBorders>
            <w:hideMark/>
          </w:tcPr>
          <w:p w14:paraId="6E14D4A5"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1,500 mg</w:t>
            </w:r>
          </w:p>
        </w:tc>
        <w:tc>
          <w:tcPr>
            <w:tcW w:w="0" w:type="auto"/>
            <w:tcBorders>
              <w:top w:val="single" w:sz="6" w:space="0" w:color="000000"/>
              <w:left w:val="single" w:sz="6" w:space="0" w:color="000000"/>
              <w:bottom w:val="single" w:sz="6" w:space="0" w:color="000000"/>
              <w:right w:val="single" w:sz="6" w:space="0" w:color="000000"/>
            </w:tcBorders>
            <w:hideMark/>
          </w:tcPr>
          <w:p w14:paraId="302EA75E"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hideMark/>
          </w:tcPr>
          <w:p w14:paraId="08D78A82"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25 mL (5 teaspoons)</w:t>
            </w:r>
          </w:p>
        </w:tc>
      </w:tr>
      <w:tr w:rsidR="00ED1831" w:rsidRPr="00ED1831" w14:paraId="3FDCBDD0" w14:textId="77777777" w:rsidTr="00ED1831">
        <w:tc>
          <w:tcPr>
            <w:tcW w:w="0" w:type="auto"/>
            <w:tcBorders>
              <w:top w:val="nil"/>
              <w:left w:val="single" w:sz="6" w:space="0" w:color="000000"/>
              <w:bottom w:val="single" w:sz="6" w:space="0" w:color="000000"/>
              <w:right w:val="single" w:sz="6" w:space="0" w:color="000000"/>
            </w:tcBorders>
            <w:hideMark/>
          </w:tcPr>
          <w:p w14:paraId="43CA0693"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2,100 mg</w:t>
            </w:r>
          </w:p>
        </w:tc>
        <w:tc>
          <w:tcPr>
            <w:tcW w:w="0" w:type="auto"/>
            <w:tcBorders>
              <w:top w:val="single" w:sz="6" w:space="0" w:color="000000"/>
              <w:left w:val="single" w:sz="6" w:space="0" w:color="000000"/>
              <w:bottom w:val="single" w:sz="6" w:space="0" w:color="000000"/>
              <w:right w:val="single" w:sz="6" w:space="0" w:color="000000"/>
            </w:tcBorders>
            <w:hideMark/>
          </w:tcPr>
          <w:p w14:paraId="386AFDEF"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hideMark/>
          </w:tcPr>
          <w:p w14:paraId="7B9C8D11"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35 mL (7 teaspoons)</w:t>
            </w:r>
          </w:p>
        </w:tc>
      </w:tr>
      <w:tr w:rsidR="00ED1831" w:rsidRPr="00ED1831" w14:paraId="6E26819E" w14:textId="77777777" w:rsidTr="00ED1831">
        <w:tc>
          <w:tcPr>
            <w:tcW w:w="0" w:type="auto"/>
            <w:tcBorders>
              <w:top w:val="single" w:sz="6" w:space="0" w:color="000000"/>
              <w:left w:val="single" w:sz="6" w:space="0" w:color="000000"/>
              <w:bottom w:val="single" w:sz="6" w:space="0" w:color="000000"/>
              <w:right w:val="single" w:sz="6" w:space="0" w:color="000000"/>
            </w:tcBorders>
            <w:hideMark/>
          </w:tcPr>
          <w:p w14:paraId="126A98FA"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lastRenderedPageBreak/>
              <w:t>2,400 mg</w:t>
            </w:r>
          </w:p>
        </w:tc>
        <w:tc>
          <w:tcPr>
            <w:tcW w:w="0" w:type="auto"/>
            <w:tcBorders>
              <w:top w:val="single" w:sz="6" w:space="0" w:color="000000"/>
              <w:left w:val="single" w:sz="6" w:space="0" w:color="000000"/>
              <w:bottom w:val="single" w:sz="6" w:space="0" w:color="000000"/>
              <w:right w:val="single" w:sz="6" w:space="0" w:color="000000"/>
            </w:tcBorders>
            <w:hideMark/>
          </w:tcPr>
          <w:p w14:paraId="1E7B5C14"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hideMark/>
          </w:tcPr>
          <w:p w14:paraId="7D883A03"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40 mL (8 teaspoons)</w:t>
            </w:r>
          </w:p>
        </w:tc>
      </w:tr>
    </w:tbl>
    <w:p w14:paraId="56478641" w14:textId="77777777" w:rsidR="00ED1831" w:rsidRPr="00ED1831" w:rsidRDefault="00ED1831" w:rsidP="00ED1831">
      <w:pPr>
        <w:ind w:left="21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10F64F32"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After the tablets start to disintegrate, swirl the contents of the cup until the tablets are dispersed, wait 1 to 5 minutes, swirl the contents of the cup again, and then orally administer the contents of the cup. The tablet(s) will not completely dissolve; there will still be small tablet clumps in the mixture.</w:t>
      </w:r>
    </w:p>
    <w:p w14:paraId="5448F400" w14:textId="77777777" w:rsidR="00ED1831" w:rsidRPr="00ED1831" w:rsidRDefault="00ED1831" w:rsidP="00ED1831">
      <w:pPr>
        <w:ind w:left="57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0DC57EBE"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Resuspend any residue left in the cup in more clear drink and administer. Repeat until no tablet residue is left in the cup.</w:t>
      </w:r>
    </w:p>
    <w:p w14:paraId="6C9BF139"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Tablets for oral suspension may be substituted for tablets in adults and pediatric patients 12 years and older with difficulty swallowing the tablets. Use the number of tablets for oral suspension needed to achieve the recommended dose.</w:t>
      </w:r>
    </w:p>
    <w:p w14:paraId="35820C5F" w14:textId="77777777" w:rsidR="00ED1831" w:rsidRPr="00ED1831" w:rsidRDefault="00ED1831" w:rsidP="00ED1831">
      <w:pPr>
        <w:spacing w:before="480"/>
        <w:outlineLvl w:val="0"/>
        <w:rPr>
          <w:rFonts w:ascii="Times New Roman" w:eastAsia="Times New Roman" w:hAnsi="Times New Roman" w:cs="Times New Roman"/>
          <w:b/>
          <w:bCs/>
          <w:color w:val="000000"/>
          <w:kern w:val="36"/>
        </w:rPr>
      </w:pPr>
      <w:bookmarkStart w:id="31" w:name="S3"/>
      <w:bookmarkStart w:id="32" w:name="section-3"/>
      <w:bookmarkEnd w:id="31"/>
      <w:bookmarkEnd w:id="32"/>
      <w:r w:rsidRPr="00ED1831">
        <w:rPr>
          <w:rFonts w:ascii="Times New Roman" w:eastAsia="Times New Roman" w:hAnsi="Times New Roman" w:cs="Times New Roman"/>
          <w:b/>
          <w:bCs/>
          <w:color w:val="000000"/>
          <w:kern w:val="36"/>
        </w:rPr>
        <w:t>3 DOSAGE FORMS AND STRENGTHS</w:t>
      </w:r>
    </w:p>
    <w:p w14:paraId="59216B4E"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Tablets: 300 mg light purple to purple, oval shaped, biconvex, debossed with "G 300" on one side.</w:t>
      </w:r>
    </w:p>
    <w:p w14:paraId="721E8485"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Tablets: 500 mg light yellow to yellow, oval shaped, biconvex, debossed with "GBT 500" on one side.</w:t>
      </w:r>
    </w:p>
    <w:p w14:paraId="17CEE5D1"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Tablets for oral suspension: 300 mg light yellow to yellow, round shaped, debossed with "300 D" on one side.</w:t>
      </w:r>
    </w:p>
    <w:p w14:paraId="7753545F" w14:textId="77777777" w:rsidR="00ED1831" w:rsidRPr="00ED1831" w:rsidRDefault="00ED1831" w:rsidP="00ED1831">
      <w:pPr>
        <w:spacing w:before="480"/>
        <w:outlineLvl w:val="0"/>
        <w:rPr>
          <w:rFonts w:ascii="Times New Roman" w:eastAsia="Times New Roman" w:hAnsi="Times New Roman" w:cs="Times New Roman"/>
          <w:b/>
          <w:bCs/>
          <w:color w:val="000000"/>
          <w:kern w:val="36"/>
        </w:rPr>
      </w:pPr>
      <w:bookmarkStart w:id="33" w:name="S4"/>
      <w:bookmarkStart w:id="34" w:name="section-4"/>
      <w:bookmarkEnd w:id="33"/>
      <w:bookmarkEnd w:id="34"/>
      <w:r w:rsidRPr="00ED1831">
        <w:rPr>
          <w:rFonts w:ascii="Times New Roman" w:eastAsia="Times New Roman" w:hAnsi="Times New Roman" w:cs="Times New Roman"/>
          <w:b/>
          <w:bCs/>
          <w:color w:val="000000"/>
          <w:kern w:val="36"/>
        </w:rPr>
        <w:t>4 CONTRAINDICATIONS</w:t>
      </w:r>
    </w:p>
    <w:p w14:paraId="52D8AB5C"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OXBRYTA is contraindicated in patients with a history of serious drug hypersensitivity reaction to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or excipients. Clinical manifestations may include generalized rash, urticaria, mild shortness of breath, mild facial swelling, and eosinophilia </w:t>
      </w:r>
      <w:r w:rsidRPr="00ED1831">
        <w:rPr>
          <w:rFonts w:ascii="Times New Roman" w:eastAsia="Times New Roman" w:hAnsi="Times New Roman" w:cs="Times New Roman"/>
          <w:i/>
          <w:iCs/>
          <w:color w:val="000000"/>
        </w:rPr>
        <w:t>[see </w:t>
      </w:r>
      <w:hyperlink r:id="rId76" w:anchor="S5.1" w:history="1">
        <w:r w:rsidRPr="00ED1831">
          <w:rPr>
            <w:rFonts w:ascii="Times New Roman" w:eastAsia="Times New Roman" w:hAnsi="Times New Roman" w:cs="Times New Roman"/>
            <w:i/>
            <w:iCs/>
            <w:color w:val="0000FF"/>
            <w:u w:val="single"/>
          </w:rPr>
          <w:t>Warnings and Precautions (5.1)</w:t>
        </w:r>
      </w:hyperlink>
      <w:r w:rsidRPr="00ED1831">
        <w:rPr>
          <w:rFonts w:ascii="Times New Roman" w:eastAsia="Times New Roman" w:hAnsi="Times New Roman" w:cs="Times New Roman"/>
          <w:i/>
          <w:iCs/>
          <w:color w:val="000000"/>
        </w:rPr>
        <w:t> and </w:t>
      </w:r>
      <w:hyperlink r:id="rId77" w:anchor="S6.1" w:history="1">
        <w:r w:rsidRPr="00ED1831">
          <w:rPr>
            <w:rFonts w:ascii="Times New Roman" w:eastAsia="Times New Roman" w:hAnsi="Times New Roman" w:cs="Times New Roman"/>
            <w:i/>
            <w:iCs/>
            <w:color w:val="0000FF"/>
            <w:u w:val="single"/>
          </w:rPr>
          <w:t>Adverse Reactions (6.1)</w:t>
        </w:r>
      </w:hyperlink>
      <w:r w:rsidRPr="00ED1831">
        <w:rPr>
          <w:rFonts w:ascii="Times New Roman" w:eastAsia="Times New Roman" w:hAnsi="Times New Roman" w:cs="Times New Roman"/>
          <w:i/>
          <w:iCs/>
          <w:color w:val="000000"/>
        </w:rPr>
        <w:t>].</w:t>
      </w:r>
    </w:p>
    <w:p w14:paraId="5D32C302" w14:textId="77777777" w:rsidR="00ED1831" w:rsidRPr="00ED1831" w:rsidRDefault="00ED1831" w:rsidP="00ED1831">
      <w:pPr>
        <w:spacing w:before="480"/>
        <w:outlineLvl w:val="0"/>
        <w:rPr>
          <w:rFonts w:ascii="Times New Roman" w:eastAsia="Times New Roman" w:hAnsi="Times New Roman" w:cs="Times New Roman"/>
          <w:b/>
          <w:bCs/>
          <w:color w:val="000000"/>
          <w:kern w:val="36"/>
        </w:rPr>
      </w:pPr>
      <w:bookmarkStart w:id="35" w:name="S5"/>
      <w:bookmarkStart w:id="36" w:name="section-5"/>
      <w:bookmarkEnd w:id="35"/>
      <w:bookmarkEnd w:id="36"/>
      <w:r w:rsidRPr="00ED1831">
        <w:rPr>
          <w:rFonts w:ascii="Times New Roman" w:eastAsia="Times New Roman" w:hAnsi="Times New Roman" w:cs="Times New Roman"/>
          <w:b/>
          <w:bCs/>
          <w:color w:val="000000"/>
          <w:kern w:val="36"/>
        </w:rPr>
        <w:t>5 WARNINGS AND PRECAUTIONS</w:t>
      </w:r>
    </w:p>
    <w:p w14:paraId="7F7014B7"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37" w:name="S5.1"/>
      <w:bookmarkStart w:id="38" w:name="section-5.1"/>
      <w:bookmarkEnd w:id="37"/>
      <w:bookmarkEnd w:id="38"/>
      <w:r w:rsidRPr="00ED1831">
        <w:rPr>
          <w:rFonts w:ascii="Times New Roman" w:eastAsia="Times New Roman" w:hAnsi="Times New Roman" w:cs="Times New Roman"/>
          <w:b/>
          <w:bCs/>
          <w:color w:val="000000"/>
        </w:rPr>
        <w:t>5.1 Hypersensitivity Reactions</w:t>
      </w:r>
    </w:p>
    <w:p w14:paraId="09D7AD64"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Serious hypersensitivity reactions after administration of OXBRYTA have occurred in &lt;1% of patients treated. Clinical manifestations may include generalized rash, urticaria, mild shortness of breath, mild facial swelling, and eosinophilia </w:t>
      </w:r>
      <w:r w:rsidRPr="00ED1831">
        <w:rPr>
          <w:rFonts w:ascii="Times New Roman" w:eastAsia="Times New Roman" w:hAnsi="Times New Roman" w:cs="Times New Roman"/>
          <w:i/>
          <w:iCs/>
          <w:color w:val="000000"/>
        </w:rPr>
        <w:t>[see </w:t>
      </w:r>
      <w:hyperlink r:id="rId78" w:anchor="S6.1" w:history="1">
        <w:r w:rsidRPr="00ED1831">
          <w:rPr>
            <w:rFonts w:ascii="Times New Roman" w:eastAsia="Times New Roman" w:hAnsi="Times New Roman" w:cs="Times New Roman"/>
            <w:i/>
            <w:iCs/>
            <w:color w:val="0000FF"/>
            <w:u w:val="single"/>
          </w:rPr>
          <w:t>Adverse Reactions (6.1)</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w:t>
      </w:r>
    </w:p>
    <w:p w14:paraId="32238103" w14:textId="77777777" w:rsidR="00ED1831" w:rsidRPr="00ED1831" w:rsidRDefault="00ED1831" w:rsidP="00ED1831">
      <w:pPr>
        <w:pBdr>
          <w:left w:val="single" w:sz="6" w:space="0" w:color="auto"/>
        </w:pBd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Drug reaction with eosinophilia and systemic symptoms (DRESS) has been reported in </w:t>
      </w:r>
      <w:proofErr w:type="spellStart"/>
      <w:r w:rsidRPr="00ED1831">
        <w:rPr>
          <w:rFonts w:ascii="Times New Roman" w:eastAsia="Times New Roman" w:hAnsi="Times New Roman" w:cs="Times New Roman"/>
          <w:color w:val="000000"/>
        </w:rPr>
        <w:t>postmarketing</w:t>
      </w:r>
      <w:proofErr w:type="spellEnd"/>
      <w:r w:rsidRPr="00ED1831">
        <w:rPr>
          <w:rFonts w:ascii="Times New Roman" w:eastAsia="Times New Roman" w:hAnsi="Times New Roman" w:cs="Times New Roman"/>
          <w:color w:val="000000"/>
        </w:rPr>
        <w:t xml:space="preserve"> experience with OXBRYTA </w:t>
      </w:r>
      <w:r w:rsidRPr="00ED1831">
        <w:rPr>
          <w:rFonts w:ascii="Times New Roman" w:eastAsia="Times New Roman" w:hAnsi="Times New Roman" w:cs="Times New Roman"/>
          <w:i/>
          <w:iCs/>
          <w:color w:val="000000"/>
        </w:rPr>
        <w:t>[see </w:t>
      </w:r>
      <w:hyperlink r:id="rId79" w:anchor="ID_c702ee8b-bb06-4b5e-8adb-09a5e6e76ab0" w:history="1">
        <w:r w:rsidRPr="00ED1831">
          <w:rPr>
            <w:rFonts w:ascii="Times New Roman" w:eastAsia="Times New Roman" w:hAnsi="Times New Roman" w:cs="Times New Roman"/>
            <w:i/>
            <w:iCs/>
            <w:color w:val="0000FF"/>
            <w:u w:val="single"/>
          </w:rPr>
          <w:t>Adverse Reactions (6.2)</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 xml:space="preserve">. Patients who develop a combination of skin rash, fever, peripheral eosinophilia, and internal systemic organ </w:t>
      </w:r>
      <w:r w:rsidRPr="00ED1831">
        <w:rPr>
          <w:rFonts w:ascii="Times New Roman" w:eastAsia="Times New Roman" w:hAnsi="Times New Roman" w:cs="Times New Roman"/>
          <w:color w:val="000000"/>
        </w:rPr>
        <w:lastRenderedPageBreak/>
        <w:t>involvement (e.g., hepatic, renal, pulmonary) while receiving OXBRYTA should undergo medical evaluation.</w:t>
      </w:r>
    </w:p>
    <w:p w14:paraId="171925F6" w14:textId="77777777" w:rsidR="00ED1831" w:rsidRPr="00ED1831" w:rsidRDefault="00ED1831" w:rsidP="00ED1831">
      <w:pPr>
        <w:pBdr>
          <w:left w:val="single" w:sz="6" w:space="0" w:color="auto"/>
        </w:pBd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Advise patients of the signs and symptoms of severe hypersensitivity reactions, including DRESS. If hypersensitivity reactions occur, discontinue OXBRYTA and administer appropriate medical therapy. Do not reinitiate OXBRYTA in patients who experience these symptoms with previous use.</w:t>
      </w:r>
    </w:p>
    <w:p w14:paraId="3AD207FD"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39" w:name="S5.2"/>
      <w:bookmarkStart w:id="40" w:name="section-5.2"/>
      <w:bookmarkEnd w:id="39"/>
      <w:bookmarkEnd w:id="40"/>
      <w:r w:rsidRPr="00ED1831">
        <w:rPr>
          <w:rFonts w:ascii="Times New Roman" w:eastAsia="Times New Roman" w:hAnsi="Times New Roman" w:cs="Times New Roman"/>
          <w:b/>
          <w:bCs/>
          <w:color w:val="000000"/>
        </w:rPr>
        <w:t>5.2 Laboratory Test Interference</w:t>
      </w:r>
    </w:p>
    <w:p w14:paraId="2689428A"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OXBRYTA administration may interfere with measurement of Hb subtypes (</w:t>
      </w:r>
      <w:proofErr w:type="spellStart"/>
      <w:r w:rsidRPr="00ED1831">
        <w:rPr>
          <w:rFonts w:ascii="Times New Roman" w:eastAsia="Times New Roman" w:hAnsi="Times New Roman" w:cs="Times New Roman"/>
          <w:color w:val="000000"/>
        </w:rPr>
        <w:t>HbA</w:t>
      </w:r>
      <w:proofErr w:type="spellEnd"/>
      <w:r w:rsidRPr="00ED1831">
        <w:rPr>
          <w:rFonts w:ascii="Times New Roman" w:eastAsia="Times New Roman" w:hAnsi="Times New Roman" w:cs="Times New Roman"/>
          <w:color w:val="000000"/>
        </w:rPr>
        <w:t xml:space="preserve">, </w:t>
      </w:r>
      <w:proofErr w:type="spellStart"/>
      <w:r w:rsidRPr="00ED1831">
        <w:rPr>
          <w:rFonts w:ascii="Times New Roman" w:eastAsia="Times New Roman" w:hAnsi="Times New Roman" w:cs="Times New Roman"/>
          <w:color w:val="000000"/>
        </w:rPr>
        <w:t>HbS</w:t>
      </w:r>
      <w:proofErr w:type="spellEnd"/>
      <w:r w:rsidRPr="00ED1831">
        <w:rPr>
          <w:rFonts w:ascii="Times New Roman" w:eastAsia="Times New Roman" w:hAnsi="Times New Roman" w:cs="Times New Roman"/>
          <w:color w:val="000000"/>
        </w:rPr>
        <w:t xml:space="preserve">, and </w:t>
      </w:r>
      <w:proofErr w:type="spellStart"/>
      <w:r w:rsidRPr="00ED1831">
        <w:rPr>
          <w:rFonts w:ascii="Times New Roman" w:eastAsia="Times New Roman" w:hAnsi="Times New Roman" w:cs="Times New Roman"/>
          <w:color w:val="000000"/>
        </w:rPr>
        <w:t>HbF</w:t>
      </w:r>
      <w:proofErr w:type="spellEnd"/>
      <w:r w:rsidRPr="00ED1831">
        <w:rPr>
          <w:rFonts w:ascii="Times New Roman" w:eastAsia="Times New Roman" w:hAnsi="Times New Roman" w:cs="Times New Roman"/>
          <w:color w:val="000000"/>
        </w:rPr>
        <w:t>) by high-performance liquid chromatography (HPLC) </w:t>
      </w:r>
      <w:r w:rsidRPr="00ED1831">
        <w:rPr>
          <w:rFonts w:ascii="Times New Roman" w:eastAsia="Times New Roman" w:hAnsi="Times New Roman" w:cs="Times New Roman"/>
          <w:i/>
          <w:iCs/>
          <w:color w:val="000000"/>
        </w:rPr>
        <w:t>[see </w:t>
      </w:r>
      <w:hyperlink r:id="rId80" w:anchor="S7.3" w:history="1">
        <w:r w:rsidRPr="00ED1831">
          <w:rPr>
            <w:rFonts w:ascii="Times New Roman" w:eastAsia="Times New Roman" w:hAnsi="Times New Roman" w:cs="Times New Roman"/>
            <w:i/>
            <w:iCs/>
            <w:color w:val="0000FF"/>
            <w:u w:val="single"/>
          </w:rPr>
          <w:t>Drug Interactions (7.3)</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 If precise quantitation of Hb species is required, chromatography should be performed when the patient has not received OXBRYTA therapy in the immediately preceding 10 days.</w:t>
      </w:r>
    </w:p>
    <w:p w14:paraId="7ACA6280" w14:textId="77777777" w:rsidR="00ED1831" w:rsidRPr="00ED1831" w:rsidRDefault="00ED1831" w:rsidP="00ED1831">
      <w:pPr>
        <w:spacing w:before="480"/>
        <w:outlineLvl w:val="0"/>
        <w:rPr>
          <w:rFonts w:ascii="Times New Roman" w:eastAsia="Times New Roman" w:hAnsi="Times New Roman" w:cs="Times New Roman"/>
          <w:b/>
          <w:bCs/>
          <w:color w:val="000000"/>
          <w:kern w:val="36"/>
        </w:rPr>
      </w:pPr>
      <w:bookmarkStart w:id="41" w:name="S6"/>
      <w:bookmarkStart w:id="42" w:name="section-6"/>
      <w:bookmarkEnd w:id="41"/>
      <w:bookmarkEnd w:id="42"/>
      <w:r w:rsidRPr="00ED1831">
        <w:rPr>
          <w:rFonts w:ascii="Times New Roman" w:eastAsia="Times New Roman" w:hAnsi="Times New Roman" w:cs="Times New Roman"/>
          <w:b/>
          <w:bCs/>
          <w:color w:val="000000"/>
          <w:kern w:val="36"/>
        </w:rPr>
        <w:t>6 ADVERSE REACTIONS</w:t>
      </w:r>
    </w:p>
    <w:p w14:paraId="4131B572"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The following clinically significant adverse reaction is discussed in other sections of the labeling:</w:t>
      </w:r>
    </w:p>
    <w:p w14:paraId="2B0AB44D" w14:textId="77777777" w:rsidR="00ED1831" w:rsidRPr="00ED1831" w:rsidRDefault="00ED1831" w:rsidP="00ED1831">
      <w:pPr>
        <w:ind w:left="21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54B3B84D"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Hypersensitivity Reactions </w:t>
      </w:r>
      <w:r w:rsidRPr="00ED1831">
        <w:rPr>
          <w:rFonts w:ascii="Times New Roman" w:eastAsia="Times New Roman" w:hAnsi="Times New Roman" w:cs="Times New Roman"/>
          <w:i/>
          <w:iCs/>
          <w:color w:val="000000"/>
        </w:rPr>
        <w:t>[see </w:t>
      </w:r>
      <w:hyperlink r:id="rId81" w:anchor="S4" w:history="1">
        <w:r w:rsidRPr="00ED1831">
          <w:rPr>
            <w:rFonts w:ascii="Times New Roman" w:eastAsia="Times New Roman" w:hAnsi="Times New Roman" w:cs="Times New Roman"/>
            <w:i/>
            <w:iCs/>
            <w:color w:val="0000FF"/>
            <w:u w:val="single"/>
          </w:rPr>
          <w:t>Contraindications (4)</w:t>
        </w:r>
      </w:hyperlink>
      <w:r w:rsidRPr="00ED1831">
        <w:rPr>
          <w:rFonts w:ascii="Times New Roman" w:eastAsia="Times New Roman" w:hAnsi="Times New Roman" w:cs="Times New Roman"/>
          <w:i/>
          <w:iCs/>
          <w:color w:val="000000"/>
        </w:rPr>
        <w:t> and </w:t>
      </w:r>
      <w:hyperlink r:id="rId82" w:anchor="S5.1" w:history="1">
        <w:r w:rsidRPr="00ED1831">
          <w:rPr>
            <w:rFonts w:ascii="Times New Roman" w:eastAsia="Times New Roman" w:hAnsi="Times New Roman" w:cs="Times New Roman"/>
            <w:i/>
            <w:iCs/>
            <w:color w:val="0000FF"/>
            <w:u w:val="single"/>
          </w:rPr>
          <w:t>Warnings and Precautions (5.1)</w:t>
        </w:r>
      </w:hyperlink>
      <w:r w:rsidRPr="00ED1831">
        <w:rPr>
          <w:rFonts w:ascii="Times New Roman" w:eastAsia="Times New Roman" w:hAnsi="Times New Roman" w:cs="Times New Roman"/>
          <w:i/>
          <w:iCs/>
          <w:color w:val="000000"/>
        </w:rPr>
        <w:t>].</w:t>
      </w:r>
    </w:p>
    <w:p w14:paraId="0DB24302"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43" w:name="S6.1"/>
      <w:bookmarkStart w:id="44" w:name="section-6.1"/>
      <w:bookmarkEnd w:id="43"/>
      <w:bookmarkEnd w:id="44"/>
      <w:r w:rsidRPr="00ED1831">
        <w:rPr>
          <w:rFonts w:ascii="Times New Roman" w:eastAsia="Times New Roman" w:hAnsi="Times New Roman" w:cs="Times New Roman"/>
          <w:b/>
          <w:bCs/>
          <w:color w:val="000000"/>
        </w:rPr>
        <w:t>6.1 Clinical Trials Experience</w:t>
      </w:r>
    </w:p>
    <w:p w14:paraId="0AC15FD3"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Because clinical trials are conducted under widely varying conditions, adverse reaction rates observed in the clinical trials of a drug cannot be directly compared to rates in the clinical trials of another drug and may not reflect the rates observed in practice.</w:t>
      </w:r>
    </w:p>
    <w:p w14:paraId="3785C8B1" w14:textId="77777777" w:rsidR="00ED1831" w:rsidRPr="00ED1831" w:rsidRDefault="00ED1831" w:rsidP="00ED1831">
      <w:pPr>
        <w:spacing w:before="144"/>
        <w:rPr>
          <w:rFonts w:ascii="Times New Roman" w:eastAsia="Times New Roman" w:hAnsi="Times New Roman" w:cs="Times New Roman"/>
          <w:color w:val="000000"/>
        </w:rPr>
      </w:pPr>
      <w:bookmarkStart w:id="45" w:name="ID_36ad61b6-359b-4df3-8973-26d5a7a2600e"/>
      <w:bookmarkStart w:id="46" w:name="section-6.1.1"/>
      <w:bookmarkEnd w:id="45"/>
      <w:bookmarkEnd w:id="46"/>
      <w:r w:rsidRPr="00ED1831">
        <w:rPr>
          <w:rFonts w:ascii="Times New Roman" w:eastAsia="Times New Roman" w:hAnsi="Times New Roman" w:cs="Times New Roman"/>
          <w:color w:val="000000"/>
        </w:rPr>
        <w:t>Adults and Pediatric Patients 12 Years and Older</w:t>
      </w:r>
    </w:p>
    <w:p w14:paraId="2270FA21"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The safety of OXBRYTA was evaluated in the HOPE trial based on data from 88 patients with SCD who received OXBRYTA 1,500 mg and 91 patients who received placebo orally once daily </w:t>
      </w:r>
      <w:r w:rsidRPr="00ED1831">
        <w:rPr>
          <w:rFonts w:ascii="Times New Roman" w:eastAsia="Times New Roman" w:hAnsi="Times New Roman" w:cs="Times New Roman"/>
          <w:i/>
          <w:iCs/>
          <w:color w:val="000000"/>
        </w:rPr>
        <w:t>[see </w:t>
      </w:r>
      <w:hyperlink r:id="rId83" w:anchor="S14.1" w:history="1">
        <w:r w:rsidRPr="00ED1831">
          <w:rPr>
            <w:rFonts w:ascii="Times New Roman" w:eastAsia="Times New Roman" w:hAnsi="Times New Roman" w:cs="Times New Roman"/>
            <w:i/>
            <w:iCs/>
            <w:color w:val="0000FF"/>
            <w:u w:val="single"/>
          </w:rPr>
          <w:t>Clinical Studies (14.1)</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 Seventy-four patients received OXBRYTA 1,500 mg once daily for ≥24 weeks, 65 patients for ≥48 weeks, and 63 patients completed the 72-week treatment period.</w:t>
      </w:r>
    </w:p>
    <w:p w14:paraId="633896EF"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In patients who received OXBRYTA 1,500 mg once daily the median age was 24 years (range:12 to 59 years); 65% female; 66% Black or African American and 23% Arab/Middle Eastern; and 65% receiving hydroxyurea at baseline.</w:t>
      </w:r>
    </w:p>
    <w:p w14:paraId="0D032B97"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Serious adverse reactions occurred in 3% (3/88) of patients receiving OXBRYTA 1,500 mg, which included headache, drug hypersensitivity, and pulmonary embolism occurring in 1 patient each. Permanent discontinuation due to an adverse reaction (Grades 1-4) occurred in 5% (4/88) of patients who received OXBRYTA 1,500 mg.</w:t>
      </w:r>
    </w:p>
    <w:p w14:paraId="4DABEE63"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Dosage modifications (dose reduction or dosing interruption) due to adverse reactions occurred in 14% (12/88) of patients who received OXBRYTA 1,500 mg. The adverse reactions requiring dosage modification included rash (4.5%), diarrhea (3.4%), headache (2.3%), nausea (2.3%), abdominal pain (1.1%), and drug hypersensitivity (1.1%).</w:t>
      </w:r>
    </w:p>
    <w:p w14:paraId="57E51E16"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lastRenderedPageBreak/>
        <w:t xml:space="preserve">The safety profile observed in pediatric patients 12 to &lt;17 years treated with OXBRYTA in the HOPE trial was </w:t>
      </w:r>
      <w:proofErr w:type="gramStart"/>
      <w:r w:rsidRPr="00ED1831">
        <w:rPr>
          <w:rFonts w:ascii="Times New Roman" w:eastAsia="Times New Roman" w:hAnsi="Times New Roman" w:cs="Times New Roman"/>
          <w:color w:val="000000"/>
        </w:rPr>
        <w:t>similar to</w:t>
      </w:r>
      <w:proofErr w:type="gramEnd"/>
      <w:r w:rsidRPr="00ED1831">
        <w:rPr>
          <w:rFonts w:ascii="Times New Roman" w:eastAsia="Times New Roman" w:hAnsi="Times New Roman" w:cs="Times New Roman"/>
          <w:color w:val="000000"/>
        </w:rPr>
        <w:t xml:space="preserve"> that seen in adult patients.</w:t>
      </w:r>
    </w:p>
    <w:p w14:paraId="0BC00ED5"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The most common adverse reactions occurring in ≥10% of patients treated with OXBRYTA 1,500 mg with a difference of &gt;3% compared to placebo are summarized in Table 4.</w:t>
      </w:r>
    </w:p>
    <w:tbl>
      <w:tblPr>
        <w:tblW w:w="3750" w:type="pct"/>
        <w:tblCellMar>
          <w:top w:w="15" w:type="dxa"/>
          <w:left w:w="15" w:type="dxa"/>
          <w:bottom w:w="15" w:type="dxa"/>
          <w:right w:w="15" w:type="dxa"/>
        </w:tblCellMar>
        <w:tblLook w:val="04A0" w:firstRow="1" w:lastRow="0" w:firstColumn="1" w:lastColumn="0" w:noHBand="0" w:noVBand="1"/>
      </w:tblPr>
      <w:tblGrid>
        <w:gridCol w:w="3115"/>
        <w:gridCol w:w="2332"/>
        <w:gridCol w:w="1573"/>
      </w:tblGrid>
      <w:tr w:rsidR="00ED1831" w:rsidRPr="00ED1831" w14:paraId="1045A3BE" w14:textId="77777777" w:rsidTr="00ED1831">
        <w:trPr>
          <w:tblHeader/>
        </w:trPr>
        <w:tc>
          <w:tcPr>
            <w:tcW w:w="0" w:type="auto"/>
            <w:gridSpan w:val="3"/>
            <w:tcBorders>
              <w:top w:val="nil"/>
              <w:left w:val="nil"/>
              <w:bottom w:val="nil"/>
              <w:right w:val="nil"/>
            </w:tcBorders>
            <w:vAlign w:val="center"/>
            <w:hideMark/>
          </w:tcPr>
          <w:p w14:paraId="6205B6E0" w14:textId="77777777" w:rsidR="00ED1831" w:rsidRPr="00ED1831" w:rsidRDefault="00ED1831" w:rsidP="00ED1831">
            <w:pPr>
              <w:spacing w:before="150" w:after="360"/>
              <w:jc w:val="center"/>
              <w:rPr>
                <w:rFonts w:ascii="Times New Roman" w:eastAsia="Times New Roman" w:hAnsi="Times New Roman" w:cs="Times New Roman"/>
                <w:b/>
                <w:bCs/>
              </w:rPr>
            </w:pPr>
            <w:bookmarkStart w:id="47" w:name="_Reftable4"/>
            <w:bookmarkEnd w:id="47"/>
            <w:r w:rsidRPr="00ED1831">
              <w:rPr>
                <w:rFonts w:ascii="Times New Roman" w:eastAsia="Times New Roman" w:hAnsi="Times New Roman" w:cs="Times New Roman"/>
                <w:b/>
                <w:bCs/>
              </w:rPr>
              <w:t>Table 4: Adverse Reactions (≥10%) in Patients Receiving OXBRYTA with a Difference Between Arms of &gt;3% Compared to Placebo in HOPE</w:t>
            </w:r>
          </w:p>
        </w:tc>
      </w:tr>
      <w:tr w:rsidR="00ED1831" w:rsidRPr="00ED1831" w14:paraId="78184639" w14:textId="77777777" w:rsidTr="00ED1831">
        <w:trPr>
          <w:tblHeader/>
        </w:trPr>
        <w:tc>
          <w:tcPr>
            <w:tcW w:w="0" w:type="auto"/>
            <w:tcBorders>
              <w:top w:val="single" w:sz="6" w:space="0" w:color="000000"/>
              <w:left w:val="single" w:sz="6" w:space="0" w:color="000000"/>
              <w:bottom w:val="single" w:sz="6" w:space="0" w:color="000000"/>
              <w:right w:val="single" w:sz="6" w:space="0" w:color="000000"/>
            </w:tcBorders>
            <w:vAlign w:val="bottom"/>
            <w:hideMark/>
          </w:tcPr>
          <w:p w14:paraId="5AA766DF" w14:textId="77777777" w:rsidR="00ED1831" w:rsidRPr="00ED1831" w:rsidRDefault="00ED1831" w:rsidP="00ED1831">
            <w:pPr>
              <w:spacing w:after="360"/>
              <w:rPr>
                <w:rFonts w:ascii="Times New Roman" w:eastAsia="Times New Roman" w:hAnsi="Times New Roman" w:cs="Times New Roman"/>
                <w:b/>
                <w:bCs/>
              </w:rPr>
            </w:pPr>
            <w:r w:rsidRPr="00ED1831">
              <w:rPr>
                <w:rFonts w:ascii="Times New Roman" w:eastAsia="Times New Roman" w:hAnsi="Times New Roman" w:cs="Times New Roman"/>
                <w:b/>
                <w:bCs/>
              </w:rPr>
              <w:t>Adverse Reaction</w:t>
            </w:r>
            <w:bookmarkStart w:id="48" w:name="footnote-reference-1"/>
            <w:r w:rsidRPr="00ED1831">
              <w:rPr>
                <w:rFonts w:ascii="Times New Roman" w:eastAsia="Times New Roman" w:hAnsi="Times New Roman" w:cs="Times New Roman"/>
                <w:b/>
                <w:bCs/>
              </w:rPr>
              <w:fldChar w:fldCharType="begin"/>
            </w:r>
            <w:r w:rsidRPr="00ED1831">
              <w:rPr>
                <w:rFonts w:ascii="Times New Roman" w:eastAsia="Times New Roman" w:hAnsi="Times New Roman" w:cs="Times New Roman"/>
                <w:b/>
                <w:bCs/>
              </w:rPr>
              <w:instrText>HYPERLINK "https://labeling.pfizer.com/ShowLabeling.aspx?id=19593" \l "footnote-1"</w:instrText>
            </w:r>
            <w:r w:rsidRPr="00ED1831">
              <w:rPr>
                <w:rFonts w:ascii="Times New Roman" w:eastAsia="Times New Roman" w:hAnsi="Times New Roman" w:cs="Times New Roman"/>
                <w:b/>
                <w:bCs/>
              </w:rPr>
            </w:r>
            <w:r w:rsidRPr="00ED1831">
              <w:rPr>
                <w:rFonts w:ascii="Times New Roman" w:eastAsia="Times New Roman" w:hAnsi="Times New Roman" w:cs="Times New Roman"/>
                <w:b/>
                <w:bCs/>
              </w:rPr>
              <w:fldChar w:fldCharType="separate"/>
            </w:r>
            <w:r w:rsidRPr="00ED1831">
              <w:rPr>
                <w:rFonts w:ascii="Times New Roman" w:eastAsia="Times New Roman" w:hAnsi="Times New Roman" w:cs="Times New Roman"/>
                <w:b/>
                <w:bCs/>
                <w:color w:val="0000FF"/>
                <w:sz w:val="19"/>
                <w:szCs w:val="19"/>
                <w:u w:val="single"/>
              </w:rPr>
              <w:t>*</w:t>
            </w:r>
            <w:r w:rsidRPr="00ED1831">
              <w:rPr>
                <w:rFonts w:ascii="Times New Roman" w:eastAsia="Times New Roman" w:hAnsi="Times New Roman" w:cs="Times New Roman"/>
                <w:b/>
                <w:bCs/>
              </w:rPr>
              <w:fldChar w:fldCharType="end"/>
            </w:r>
            <w:bookmarkEnd w:id="48"/>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6322515A" w14:textId="77777777" w:rsidR="00ED1831" w:rsidRPr="00ED1831" w:rsidRDefault="00ED1831" w:rsidP="00ED1831">
            <w:pPr>
              <w:spacing w:after="360"/>
              <w:jc w:val="center"/>
              <w:rPr>
                <w:rFonts w:ascii="Times New Roman" w:eastAsia="Times New Roman" w:hAnsi="Times New Roman" w:cs="Times New Roman"/>
                <w:b/>
                <w:bCs/>
              </w:rPr>
            </w:pPr>
            <w:r w:rsidRPr="00ED1831">
              <w:rPr>
                <w:rFonts w:ascii="Times New Roman" w:eastAsia="Times New Roman" w:hAnsi="Times New Roman" w:cs="Times New Roman"/>
                <w:b/>
                <w:bCs/>
              </w:rPr>
              <w:t>OXBRYTA</w:t>
            </w:r>
            <w:r w:rsidRPr="00ED1831">
              <w:rPr>
                <w:rFonts w:ascii="Times New Roman" w:eastAsia="Times New Roman" w:hAnsi="Times New Roman" w:cs="Times New Roman"/>
                <w:b/>
                <w:bCs/>
              </w:rPr>
              <w:br/>
              <w:t>1,500 mg</w:t>
            </w:r>
            <w:r w:rsidRPr="00ED1831">
              <w:rPr>
                <w:rFonts w:ascii="Times New Roman" w:eastAsia="Times New Roman" w:hAnsi="Times New Roman" w:cs="Times New Roman"/>
                <w:b/>
                <w:bCs/>
              </w:rPr>
              <w:br/>
              <w:t>(N=88)</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3697C974" w14:textId="77777777" w:rsidR="00ED1831" w:rsidRPr="00ED1831" w:rsidRDefault="00ED1831" w:rsidP="00ED1831">
            <w:pPr>
              <w:spacing w:after="360"/>
              <w:jc w:val="center"/>
              <w:rPr>
                <w:rFonts w:ascii="Times New Roman" w:eastAsia="Times New Roman" w:hAnsi="Times New Roman" w:cs="Times New Roman"/>
                <w:b/>
                <w:bCs/>
              </w:rPr>
            </w:pPr>
            <w:r w:rsidRPr="00ED1831">
              <w:rPr>
                <w:rFonts w:ascii="Times New Roman" w:eastAsia="Times New Roman" w:hAnsi="Times New Roman" w:cs="Times New Roman"/>
                <w:b/>
                <w:bCs/>
              </w:rPr>
              <w:t>Placebo</w:t>
            </w:r>
            <w:r w:rsidRPr="00ED1831">
              <w:rPr>
                <w:rFonts w:ascii="Times New Roman" w:eastAsia="Times New Roman" w:hAnsi="Times New Roman" w:cs="Times New Roman"/>
                <w:b/>
                <w:bCs/>
              </w:rPr>
              <w:br/>
              <w:t>(N=91)</w:t>
            </w:r>
          </w:p>
        </w:tc>
      </w:tr>
      <w:bookmarkStart w:id="49" w:name="footnote-1"/>
      <w:tr w:rsidR="00ED1831" w:rsidRPr="00ED1831" w14:paraId="66C43F9C" w14:textId="77777777" w:rsidTr="00ED1831">
        <w:tc>
          <w:tcPr>
            <w:tcW w:w="0" w:type="auto"/>
            <w:gridSpan w:val="3"/>
            <w:tcBorders>
              <w:top w:val="nil"/>
              <w:left w:val="nil"/>
              <w:bottom w:val="nil"/>
              <w:right w:val="nil"/>
            </w:tcBorders>
            <w:vAlign w:val="center"/>
            <w:hideMark/>
          </w:tcPr>
          <w:p w14:paraId="564AE5CD" w14:textId="77777777" w:rsidR="00ED1831" w:rsidRPr="00ED1831" w:rsidRDefault="00ED1831" w:rsidP="00ED1831">
            <w:pPr>
              <w:rPr>
                <w:rFonts w:ascii="Times New Roman" w:eastAsia="Times New Roman" w:hAnsi="Times New Roman" w:cs="Times New Roman"/>
                <w:sz w:val="22"/>
                <w:szCs w:val="22"/>
              </w:rPr>
            </w:pPr>
            <w:r w:rsidRPr="00ED1831">
              <w:rPr>
                <w:rFonts w:ascii="Times New Roman" w:eastAsia="Times New Roman" w:hAnsi="Times New Roman" w:cs="Times New Roman"/>
                <w:sz w:val="22"/>
                <w:szCs w:val="22"/>
              </w:rPr>
              <w:fldChar w:fldCharType="begin"/>
            </w:r>
            <w:r w:rsidRPr="00ED1831">
              <w:rPr>
                <w:rFonts w:ascii="Times New Roman" w:eastAsia="Times New Roman" w:hAnsi="Times New Roman" w:cs="Times New Roman"/>
                <w:sz w:val="22"/>
                <w:szCs w:val="22"/>
              </w:rPr>
              <w:instrText>HYPERLINK "https://labeling.pfizer.com/ShowLabeling.aspx?id=19593" \l "footnote-reference-1"</w:instrText>
            </w:r>
            <w:r w:rsidRPr="00ED1831">
              <w:rPr>
                <w:rFonts w:ascii="Times New Roman" w:eastAsia="Times New Roman" w:hAnsi="Times New Roman" w:cs="Times New Roman"/>
                <w:sz w:val="22"/>
                <w:szCs w:val="22"/>
              </w:rPr>
            </w:r>
            <w:r w:rsidRPr="00ED1831">
              <w:rPr>
                <w:rFonts w:ascii="Times New Roman" w:eastAsia="Times New Roman" w:hAnsi="Times New Roman" w:cs="Times New Roman"/>
                <w:sz w:val="22"/>
                <w:szCs w:val="22"/>
              </w:rPr>
              <w:fldChar w:fldCharType="separate"/>
            </w:r>
            <w:r w:rsidRPr="00ED1831">
              <w:rPr>
                <w:rFonts w:ascii="Times New Roman" w:eastAsia="Times New Roman" w:hAnsi="Times New Roman" w:cs="Times New Roman"/>
                <w:color w:val="0000FF"/>
                <w:sz w:val="22"/>
                <w:szCs w:val="22"/>
                <w:u w:val="single"/>
              </w:rPr>
              <w:t>*</w:t>
            </w:r>
            <w:r w:rsidRPr="00ED1831">
              <w:rPr>
                <w:rFonts w:ascii="Times New Roman" w:eastAsia="Times New Roman" w:hAnsi="Times New Roman" w:cs="Times New Roman"/>
                <w:sz w:val="22"/>
                <w:szCs w:val="22"/>
              </w:rPr>
              <w:fldChar w:fldCharType="end"/>
            </w:r>
            <w:bookmarkEnd w:id="49"/>
          </w:p>
          <w:p w14:paraId="125ED54C" w14:textId="77777777" w:rsidR="00ED1831" w:rsidRPr="00ED1831" w:rsidRDefault="00ED1831" w:rsidP="00ED1831">
            <w:pPr>
              <w:ind w:left="720"/>
              <w:rPr>
                <w:rFonts w:ascii="Times New Roman" w:eastAsia="Times New Roman" w:hAnsi="Times New Roman" w:cs="Times New Roman"/>
                <w:sz w:val="22"/>
                <w:szCs w:val="22"/>
              </w:rPr>
            </w:pPr>
            <w:r w:rsidRPr="00ED1831">
              <w:rPr>
                <w:rFonts w:ascii="Times New Roman" w:eastAsia="Times New Roman" w:hAnsi="Times New Roman" w:cs="Times New Roman"/>
                <w:sz w:val="22"/>
                <w:szCs w:val="22"/>
              </w:rPr>
              <w:t>Adverse reactions were Grades 1 or 2 except for Grade 3 headache (2), diarrhea (1), nausea (1), rash (1), and rash generalized (3)</w:t>
            </w:r>
          </w:p>
          <w:bookmarkStart w:id="50" w:name="footnote-2"/>
          <w:p w14:paraId="5B2986B2" w14:textId="77777777" w:rsidR="00ED1831" w:rsidRPr="00ED1831" w:rsidRDefault="00ED1831" w:rsidP="00ED1831">
            <w:pPr>
              <w:ind w:left="240"/>
              <w:rPr>
                <w:rFonts w:ascii="Times New Roman" w:eastAsia="Times New Roman" w:hAnsi="Times New Roman" w:cs="Times New Roman"/>
                <w:sz w:val="22"/>
                <w:szCs w:val="22"/>
              </w:rPr>
            </w:pPr>
            <w:r w:rsidRPr="00ED1831">
              <w:rPr>
                <w:rFonts w:ascii="Times New Roman" w:eastAsia="Times New Roman" w:hAnsi="Times New Roman" w:cs="Times New Roman"/>
                <w:sz w:val="22"/>
                <w:szCs w:val="22"/>
              </w:rPr>
              <w:fldChar w:fldCharType="begin"/>
            </w:r>
            <w:r w:rsidRPr="00ED1831">
              <w:rPr>
                <w:rFonts w:ascii="Times New Roman" w:eastAsia="Times New Roman" w:hAnsi="Times New Roman" w:cs="Times New Roman"/>
                <w:sz w:val="22"/>
                <w:szCs w:val="22"/>
              </w:rPr>
              <w:instrText>HYPERLINK "https://labeling.pfizer.com/ShowLabeling.aspx?id=19593" \l "footnote-reference-2"</w:instrText>
            </w:r>
            <w:r w:rsidRPr="00ED1831">
              <w:rPr>
                <w:rFonts w:ascii="Times New Roman" w:eastAsia="Times New Roman" w:hAnsi="Times New Roman" w:cs="Times New Roman"/>
                <w:sz w:val="22"/>
                <w:szCs w:val="22"/>
              </w:rPr>
            </w:r>
            <w:r w:rsidRPr="00ED1831">
              <w:rPr>
                <w:rFonts w:ascii="Times New Roman" w:eastAsia="Times New Roman" w:hAnsi="Times New Roman" w:cs="Times New Roman"/>
                <w:sz w:val="22"/>
                <w:szCs w:val="22"/>
              </w:rPr>
              <w:fldChar w:fldCharType="separate"/>
            </w:r>
            <w:r w:rsidRPr="00ED1831">
              <w:rPr>
                <w:rFonts w:ascii="Times New Roman" w:eastAsia="Times New Roman" w:hAnsi="Times New Roman" w:cs="Times New Roman"/>
                <w:color w:val="0000FF"/>
                <w:sz w:val="22"/>
                <w:szCs w:val="22"/>
                <w:u w:val="single"/>
              </w:rPr>
              <w:t>†</w:t>
            </w:r>
            <w:r w:rsidRPr="00ED1831">
              <w:rPr>
                <w:rFonts w:ascii="Times New Roman" w:eastAsia="Times New Roman" w:hAnsi="Times New Roman" w:cs="Times New Roman"/>
                <w:sz w:val="22"/>
                <w:szCs w:val="22"/>
              </w:rPr>
              <w:fldChar w:fldCharType="end"/>
            </w:r>
            <w:bookmarkEnd w:id="50"/>
          </w:p>
          <w:p w14:paraId="63213C72" w14:textId="77777777" w:rsidR="00ED1831" w:rsidRPr="00ED1831" w:rsidRDefault="00ED1831" w:rsidP="00ED1831">
            <w:pPr>
              <w:ind w:left="720"/>
              <w:rPr>
                <w:rFonts w:ascii="Times New Roman" w:eastAsia="Times New Roman" w:hAnsi="Times New Roman" w:cs="Times New Roman"/>
                <w:sz w:val="22"/>
                <w:szCs w:val="22"/>
              </w:rPr>
            </w:pPr>
            <w:r w:rsidRPr="00ED1831">
              <w:rPr>
                <w:rFonts w:ascii="Times New Roman" w:eastAsia="Times New Roman" w:hAnsi="Times New Roman" w:cs="Times New Roman"/>
                <w:sz w:val="22"/>
                <w:szCs w:val="22"/>
              </w:rPr>
              <w:t xml:space="preserve">Abdominal pain (grouped PTs) includes the following PTs: abdominal pain, lower abdominal pain, and upper abdominal </w:t>
            </w:r>
            <w:proofErr w:type="gramStart"/>
            <w:r w:rsidRPr="00ED1831">
              <w:rPr>
                <w:rFonts w:ascii="Times New Roman" w:eastAsia="Times New Roman" w:hAnsi="Times New Roman" w:cs="Times New Roman"/>
                <w:sz w:val="22"/>
                <w:szCs w:val="22"/>
              </w:rPr>
              <w:t>pain</w:t>
            </w:r>
            <w:proofErr w:type="gramEnd"/>
          </w:p>
          <w:bookmarkStart w:id="51" w:name="footnote-3"/>
          <w:p w14:paraId="0D18BCD4" w14:textId="77777777" w:rsidR="00ED1831" w:rsidRPr="00ED1831" w:rsidRDefault="00ED1831" w:rsidP="00ED1831">
            <w:pPr>
              <w:ind w:left="480"/>
              <w:rPr>
                <w:rFonts w:ascii="Times New Roman" w:eastAsia="Times New Roman" w:hAnsi="Times New Roman" w:cs="Times New Roman"/>
                <w:sz w:val="22"/>
                <w:szCs w:val="22"/>
              </w:rPr>
            </w:pPr>
            <w:r w:rsidRPr="00ED1831">
              <w:rPr>
                <w:rFonts w:ascii="Times New Roman" w:eastAsia="Times New Roman" w:hAnsi="Times New Roman" w:cs="Times New Roman"/>
                <w:sz w:val="22"/>
                <w:szCs w:val="22"/>
              </w:rPr>
              <w:fldChar w:fldCharType="begin"/>
            </w:r>
            <w:r w:rsidRPr="00ED1831">
              <w:rPr>
                <w:rFonts w:ascii="Times New Roman" w:eastAsia="Times New Roman" w:hAnsi="Times New Roman" w:cs="Times New Roman"/>
                <w:sz w:val="22"/>
                <w:szCs w:val="22"/>
              </w:rPr>
              <w:instrText>HYPERLINK "https://labeling.pfizer.com/ShowLabeling.aspx?id=19593" \l "footnote-reference-3"</w:instrText>
            </w:r>
            <w:r w:rsidRPr="00ED1831">
              <w:rPr>
                <w:rFonts w:ascii="Times New Roman" w:eastAsia="Times New Roman" w:hAnsi="Times New Roman" w:cs="Times New Roman"/>
                <w:sz w:val="22"/>
                <w:szCs w:val="22"/>
              </w:rPr>
            </w:r>
            <w:r w:rsidRPr="00ED1831">
              <w:rPr>
                <w:rFonts w:ascii="Times New Roman" w:eastAsia="Times New Roman" w:hAnsi="Times New Roman" w:cs="Times New Roman"/>
                <w:sz w:val="22"/>
                <w:szCs w:val="22"/>
              </w:rPr>
              <w:fldChar w:fldCharType="separate"/>
            </w:r>
            <w:r w:rsidRPr="00ED1831">
              <w:rPr>
                <w:rFonts w:ascii="Times New Roman" w:eastAsia="Times New Roman" w:hAnsi="Times New Roman" w:cs="Times New Roman"/>
                <w:color w:val="0000FF"/>
                <w:sz w:val="22"/>
                <w:szCs w:val="22"/>
                <w:u w:val="single"/>
              </w:rPr>
              <w:t>‡</w:t>
            </w:r>
            <w:r w:rsidRPr="00ED1831">
              <w:rPr>
                <w:rFonts w:ascii="Times New Roman" w:eastAsia="Times New Roman" w:hAnsi="Times New Roman" w:cs="Times New Roman"/>
                <w:sz w:val="22"/>
                <w:szCs w:val="22"/>
              </w:rPr>
              <w:fldChar w:fldCharType="end"/>
            </w:r>
            <w:bookmarkEnd w:id="51"/>
          </w:p>
          <w:p w14:paraId="0910DB93" w14:textId="77777777" w:rsidR="00ED1831" w:rsidRPr="00ED1831" w:rsidRDefault="00ED1831" w:rsidP="00ED1831">
            <w:pPr>
              <w:ind w:left="720"/>
              <w:rPr>
                <w:rFonts w:ascii="Times New Roman" w:eastAsia="Times New Roman" w:hAnsi="Times New Roman" w:cs="Times New Roman"/>
                <w:sz w:val="22"/>
                <w:szCs w:val="22"/>
              </w:rPr>
            </w:pPr>
            <w:r w:rsidRPr="00ED1831">
              <w:rPr>
                <w:rFonts w:ascii="Times New Roman" w:eastAsia="Times New Roman" w:hAnsi="Times New Roman" w:cs="Times New Roman"/>
                <w:sz w:val="22"/>
                <w:szCs w:val="22"/>
              </w:rPr>
              <w:t xml:space="preserve">Rash (grouped PTs) includes the following PTs: rash, urticaria, generalized rash, macular rash, maculo-papular rash, pruritic rash, and </w:t>
            </w:r>
            <w:proofErr w:type="spellStart"/>
            <w:r w:rsidRPr="00ED1831">
              <w:rPr>
                <w:rFonts w:ascii="Times New Roman" w:eastAsia="Times New Roman" w:hAnsi="Times New Roman" w:cs="Times New Roman"/>
                <w:sz w:val="22"/>
                <w:szCs w:val="22"/>
              </w:rPr>
              <w:t>papular</w:t>
            </w:r>
            <w:proofErr w:type="spellEnd"/>
            <w:r w:rsidRPr="00ED1831">
              <w:rPr>
                <w:rFonts w:ascii="Times New Roman" w:eastAsia="Times New Roman" w:hAnsi="Times New Roman" w:cs="Times New Roman"/>
                <w:sz w:val="22"/>
                <w:szCs w:val="22"/>
              </w:rPr>
              <w:t xml:space="preserve"> rash</w:t>
            </w:r>
          </w:p>
        </w:tc>
      </w:tr>
      <w:tr w:rsidR="00ED1831" w:rsidRPr="00ED1831" w14:paraId="38DAE4EA" w14:textId="77777777" w:rsidTr="00ED1831">
        <w:tc>
          <w:tcPr>
            <w:tcW w:w="0" w:type="auto"/>
            <w:tcBorders>
              <w:top w:val="nil"/>
              <w:left w:val="single" w:sz="6" w:space="0" w:color="000000"/>
              <w:bottom w:val="single" w:sz="6" w:space="0" w:color="000000"/>
              <w:right w:val="single" w:sz="6" w:space="0" w:color="000000"/>
            </w:tcBorders>
            <w:vAlign w:val="bottom"/>
            <w:hideMark/>
          </w:tcPr>
          <w:p w14:paraId="11C94022"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Headache</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70AE0083"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32%</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5E568937"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25%</w:t>
            </w:r>
          </w:p>
        </w:tc>
      </w:tr>
      <w:tr w:rsidR="00ED1831" w:rsidRPr="00ED1831" w14:paraId="18F5EFFF" w14:textId="77777777" w:rsidTr="00ED1831">
        <w:tc>
          <w:tcPr>
            <w:tcW w:w="0" w:type="auto"/>
            <w:tcBorders>
              <w:top w:val="nil"/>
              <w:left w:val="single" w:sz="6" w:space="0" w:color="000000"/>
              <w:bottom w:val="single" w:sz="6" w:space="0" w:color="000000"/>
              <w:right w:val="single" w:sz="6" w:space="0" w:color="000000"/>
            </w:tcBorders>
            <w:vAlign w:val="bottom"/>
            <w:hideMark/>
          </w:tcPr>
          <w:p w14:paraId="408CA7FE"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Diarrhea</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6F15A3F2"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23%</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2C3F719A"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11%</w:t>
            </w:r>
          </w:p>
        </w:tc>
      </w:tr>
      <w:tr w:rsidR="00ED1831" w:rsidRPr="00ED1831" w14:paraId="5433C6A9" w14:textId="77777777" w:rsidTr="00ED1831">
        <w:tc>
          <w:tcPr>
            <w:tcW w:w="0" w:type="auto"/>
            <w:tcBorders>
              <w:top w:val="nil"/>
              <w:left w:val="single" w:sz="6" w:space="0" w:color="000000"/>
              <w:bottom w:val="single" w:sz="6" w:space="0" w:color="000000"/>
              <w:right w:val="single" w:sz="6" w:space="0" w:color="000000"/>
            </w:tcBorders>
            <w:vAlign w:val="bottom"/>
            <w:hideMark/>
          </w:tcPr>
          <w:p w14:paraId="2E04D551"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Abdominal Pain</w:t>
            </w:r>
            <w:bookmarkStart w:id="52" w:name="footnote-reference-2"/>
            <w:r w:rsidRPr="00ED1831">
              <w:rPr>
                <w:rFonts w:ascii="Times New Roman" w:eastAsia="Times New Roman" w:hAnsi="Times New Roman" w:cs="Times New Roman"/>
              </w:rPr>
              <w:fldChar w:fldCharType="begin"/>
            </w:r>
            <w:r w:rsidRPr="00ED1831">
              <w:rPr>
                <w:rFonts w:ascii="Times New Roman" w:eastAsia="Times New Roman" w:hAnsi="Times New Roman" w:cs="Times New Roman"/>
              </w:rPr>
              <w:instrText>HYPERLINK "https://labeling.pfizer.com/ShowLabeling.aspx?id=19593" \l "footnote-2"</w:instrText>
            </w:r>
            <w:r w:rsidRPr="00ED1831">
              <w:rPr>
                <w:rFonts w:ascii="Times New Roman" w:eastAsia="Times New Roman" w:hAnsi="Times New Roman" w:cs="Times New Roman"/>
              </w:rPr>
            </w:r>
            <w:r w:rsidRPr="00ED1831">
              <w:rPr>
                <w:rFonts w:ascii="Times New Roman" w:eastAsia="Times New Roman" w:hAnsi="Times New Roman" w:cs="Times New Roman"/>
              </w:rPr>
              <w:fldChar w:fldCharType="separate"/>
            </w:r>
            <w:r w:rsidRPr="00ED1831">
              <w:rPr>
                <w:rFonts w:ascii="Times New Roman" w:eastAsia="Times New Roman" w:hAnsi="Times New Roman" w:cs="Times New Roman"/>
                <w:color w:val="0000FF"/>
                <w:sz w:val="19"/>
                <w:szCs w:val="19"/>
                <w:u w:val="single"/>
              </w:rPr>
              <w:t>†</w:t>
            </w:r>
            <w:r w:rsidRPr="00ED1831">
              <w:rPr>
                <w:rFonts w:ascii="Times New Roman" w:eastAsia="Times New Roman" w:hAnsi="Times New Roman" w:cs="Times New Roman"/>
              </w:rPr>
              <w:fldChar w:fldCharType="end"/>
            </w:r>
            <w:bookmarkEnd w:id="52"/>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0A784970"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23%</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43A60C54"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16%</w:t>
            </w:r>
          </w:p>
        </w:tc>
      </w:tr>
      <w:tr w:rsidR="00ED1831" w:rsidRPr="00ED1831" w14:paraId="7EF6D1F2" w14:textId="77777777" w:rsidTr="00ED1831">
        <w:tc>
          <w:tcPr>
            <w:tcW w:w="0" w:type="auto"/>
            <w:tcBorders>
              <w:top w:val="nil"/>
              <w:left w:val="single" w:sz="6" w:space="0" w:color="000000"/>
              <w:bottom w:val="single" w:sz="6" w:space="0" w:color="000000"/>
              <w:right w:val="single" w:sz="6" w:space="0" w:color="000000"/>
            </w:tcBorders>
            <w:vAlign w:val="bottom"/>
            <w:hideMark/>
          </w:tcPr>
          <w:p w14:paraId="61591A8F"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Nausea</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325CBFA2"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19%</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2B3081F8"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10%</w:t>
            </w:r>
          </w:p>
        </w:tc>
      </w:tr>
      <w:tr w:rsidR="00ED1831" w:rsidRPr="00ED1831" w14:paraId="6C19D904" w14:textId="77777777" w:rsidTr="00ED1831">
        <w:tc>
          <w:tcPr>
            <w:tcW w:w="0" w:type="auto"/>
            <w:tcBorders>
              <w:top w:val="nil"/>
              <w:left w:val="single" w:sz="6" w:space="0" w:color="000000"/>
              <w:bottom w:val="single" w:sz="6" w:space="0" w:color="000000"/>
              <w:right w:val="single" w:sz="6" w:space="0" w:color="000000"/>
            </w:tcBorders>
            <w:vAlign w:val="bottom"/>
            <w:hideMark/>
          </w:tcPr>
          <w:p w14:paraId="5DE11C5C"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Rash</w:t>
            </w:r>
            <w:bookmarkStart w:id="53" w:name="footnote-reference-3"/>
            <w:r w:rsidRPr="00ED1831">
              <w:rPr>
                <w:rFonts w:ascii="Times New Roman" w:eastAsia="Times New Roman" w:hAnsi="Times New Roman" w:cs="Times New Roman"/>
              </w:rPr>
              <w:fldChar w:fldCharType="begin"/>
            </w:r>
            <w:r w:rsidRPr="00ED1831">
              <w:rPr>
                <w:rFonts w:ascii="Times New Roman" w:eastAsia="Times New Roman" w:hAnsi="Times New Roman" w:cs="Times New Roman"/>
              </w:rPr>
              <w:instrText>HYPERLINK "https://labeling.pfizer.com/ShowLabeling.aspx?id=19593" \l "footnote-3"</w:instrText>
            </w:r>
            <w:r w:rsidRPr="00ED1831">
              <w:rPr>
                <w:rFonts w:ascii="Times New Roman" w:eastAsia="Times New Roman" w:hAnsi="Times New Roman" w:cs="Times New Roman"/>
              </w:rPr>
            </w:r>
            <w:r w:rsidRPr="00ED1831">
              <w:rPr>
                <w:rFonts w:ascii="Times New Roman" w:eastAsia="Times New Roman" w:hAnsi="Times New Roman" w:cs="Times New Roman"/>
              </w:rPr>
              <w:fldChar w:fldCharType="separate"/>
            </w:r>
            <w:r w:rsidRPr="00ED1831">
              <w:rPr>
                <w:rFonts w:ascii="Times New Roman" w:eastAsia="Times New Roman" w:hAnsi="Times New Roman" w:cs="Times New Roman"/>
                <w:color w:val="0000FF"/>
                <w:sz w:val="19"/>
                <w:szCs w:val="19"/>
                <w:u w:val="single"/>
              </w:rPr>
              <w:t>‡</w:t>
            </w:r>
            <w:r w:rsidRPr="00ED1831">
              <w:rPr>
                <w:rFonts w:ascii="Times New Roman" w:eastAsia="Times New Roman" w:hAnsi="Times New Roman" w:cs="Times New Roman"/>
              </w:rPr>
              <w:fldChar w:fldCharType="end"/>
            </w:r>
            <w:bookmarkEnd w:id="53"/>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2009E165"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15%</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3618AFB7"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11%</w:t>
            </w:r>
          </w:p>
        </w:tc>
      </w:tr>
      <w:tr w:rsidR="00ED1831" w:rsidRPr="00ED1831" w14:paraId="309B5B2B" w14:textId="77777777" w:rsidTr="00ED1831">
        <w:tc>
          <w:tcPr>
            <w:tcW w:w="0" w:type="auto"/>
            <w:tcBorders>
              <w:top w:val="single" w:sz="6" w:space="0" w:color="000000"/>
              <w:left w:val="single" w:sz="6" w:space="0" w:color="000000"/>
              <w:bottom w:val="single" w:sz="6" w:space="0" w:color="000000"/>
              <w:right w:val="single" w:sz="6" w:space="0" w:color="000000"/>
            </w:tcBorders>
            <w:vAlign w:val="bottom"/>
            <w:hideMark/>
          </w:tcPr>
          <w:p w14:paraId="36A770FB"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Pyrexia</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50A610B1"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15%</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0DDB4965"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8%</w:t>
            </w:r>
          </w:p>
        </w:tc>
      </w:tr>
    </w:tbl>
    <w:p w14:paraId="5305524B"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Clinically relevant adverse reactions occurring in &lt;10% of patients included:</w:t>
      </w:r>
    </w:p>
    <w:p w14:paraId="0E32E0A4" w14:textId="77777777" w:rsidR="00ED1831" w:rsidRPr="00ED1831" w:rsidRDefault="00ED1831" w:rsidP="00ED1831">
      <w:pPr>
        <w:ind w:left="21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50E09B70"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Drug hypersensitivity</w:t>
      </w:r>
    </w:p>
    <w:p w14:paraId="53B809CD" w14:textId="77777777" w:rsidR="00ED1831" w:rsidRPr="00ED1831" w:rsidRDefault="00ED1831" w:rsidP="00ED1831">
      <w:pPr>
        <w:spacing w:before="144"/>
        <w:rPr>
          <w:rFonts w:ascii="Times New Roman" w:eastAsia="Times New Roman" w:hAnsi="Times New Roman" w:cs="Times New Roman"/>
          <w:color w:val="000000"/>
        </w:rPr>
      </w:pPr>
      <w:bookmarkStart w:id="54" w:name="ID_01ac2c4e-b0a6-41db-8e06-7ee7351db2fe"/>
      <w:bookmarkStart w:id="55" w:name="section-6.1.2"/>
      <w:bookmarkEnd w:id="54"/>
      <w:bookmarkEnd w:id="55"/>
      <w:r w:rsidRPr="00ED1831">
        <w:rPr>
          <w:rFonts w:ascii="Times New Roman" w:eastAsia="Times New Roman" w:hAnsi="Times New Roman" w:cs="Times New Roman"/>
          <w:color w:val="000000"/>
        </w:rPr>
        <w:t>Pediatric Patients 4 to &lt;12 Years</w:t>
      </w:r>
    </w:p>
    <w:p w14:paraId="565CEFD0"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The safety of OXBRYTA in pediatric patients 4 to &lt;12 years with SCD was evaluated in an open-label, Phase 2 study </w:t>
      </w:r>
      <w:r w:rsidRPr="00ED1831">
        <w:rPr>
          <w:rFonts w:ascii="Times New Roman" w:eastAsia="Times New Roman" w:hAnsi="Times New Roman" w:cs="Times New Roman"/>
          <w:i/>
          <w:iCs/>
          <w:color w:val="000000"/>
        </w:rPr>
        <w:t>[see </w:t>
      </w:r>
      <w:hyperlink r:id="rId84" w:anchor="S14.2" w:history="1">
        <w:r w:rsidRPr="00ED1831">
          <w:rPr>
            <w:rFonts w:ascii="Times New Roman" w:eastAsia="Times New Roman" w:hAnsi="Times New Roman" w:cs="Times New Roman"/>
            <w:i/>
            <w:iCs/>
            <w:color w:val="0000FF"/>
            <w:u w:val="single"/>
          </w:rPr>
          <w:t>Clinical Studies (14.2)</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 In this study, 45 patients 4 to &lt;12 years of age received doses of OXBRYTA tablets for oral suspension based on weight at baseline. Thirty-five patients received OXBRYTA for 24 weeks and 26 patients for 48 weeks. The most common adverse reactions (&gt;10%) reported in pediatric patients 4 to &lt;12 years were pyrexia (36%), vomiting (33%), rash (20%), abdominal pain (18%), diarrhea (18%), and headache (18%).</w:t>
      </w:r>
    </w:p>
    <w:p w14:paraId="4668DF72"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The overall safety profile of OXBRYTA in pediatric patients 4 to &lt;12 years was </w:t>
      </w:r>
      <w:proofErr w:type="gramStart"/>
      <w:r w:rsidRPr="00ED1831">
        <w:rPr>
          <w:rFonts w:ascii="Times New Roman" w:eastAsia="Times New Roman" w:hAnsi="Times New Roman" w:cs="Times New Roman"/>
          <w:color w:val="000000"/>
        </w:rPr>
        <w:t>similar to</w:t>
      </w:r>
      <w:proofErr w:type="gramEnd"/>
      <w:r w:rsidRPr="00ED1831">
        <w:rPr>
          <w:rFonts w:ascii="Times New Roman" w:eastAsia="Times New Roman" w:hAnsi="Times New Roman" w:cs="Times New Roman"/>
          <w:color w:val="000000"/>
        </w:rPr>
        <w:t xml:space="preserve"> that seen in adults and pediatric patients 12 years and older.</w:t>
      </w:r>
    </w:p>
    <w:p w14:paraId="4050ECEF"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56" w:name="ID_c702ee8b-bb06-4b5e-8adb-09a5e6e76ab0"/>
      <w:bookmarkStart w:id="57" w:name="section-6.2"/>
      <w:bookmarkEnd w:id="56"/>
      <w:bookmarkEnd w:id="57"/>
      <w:r w:rsidRPr="00ED1831">
        <w:rPr>
          <w:rFonts w:ascii="Times New Roman" w:eastAsia="Times New Roman" w:hAnsi="Times New Roman" w:cs="Times New Roman"/>
          <w:b/>
          <w:bCs/>
          <w:color w:val="000000"/>
        </w:rPr>
        <w:lastRenderedPageBreak/>
        <w:t xml:space="preserve">6.2 </w:t>
      </w:r>
      <w:proofErr w:type="spellStart"/>
      <w:r w:rsidRPr="00ED1831">
        <w:rPr>
          <w:rFonts w:ascii="Times New Roman" w:eastAsia="Times New Roman" w:hAnsi="Times New Roman" w:cs="Times New Roman"/>
          <w:b/>
          <w:bCs/>
          <w:color w:val="000000"/>
        </w:rPr>
        <w:t>Postmarketing</w:t>
      </w:r>
      <w:proofErr w:type="spellEnd"/>
      <w:r w:rsidRPr="00ED1831">
        <w:rPr>
          <w:rFonts w:ascii="Times New Roman" w:eastAsia="Times New Roman" w:hAnsi="Times New Roman" w:cs="Times New Roman"/>
          <w:b/>
          <w:bCs/>
          <w:color w:val="000000"/>
        </w:rPr>
        <w:t xml:space="preserve"> Experience</w:t>
      </w:r>
    </w:p>
    <w:p w14:paraId="7B9E6277"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The following adverse reactions have been identified during </w:t>
      </w:r>
      <w:proofErr w:type="spellStart"/>
      <w:r w:rsidRPr="00ED1831">
        <w:rPr>
          <w:rFonts w:ascii="Times New Roman" w:eastAsia="Times New Roman" w:hAnsi="Times New Roman" w:cs="Times New Roman"/>
          <w:color w:val="000000"/>
        </w:rPr>
        <w:t>postapproval</w:t>
      </w:r>
      <w:proofErr w:type="spellEnd"/>
      <w:r w:rsidRPr="00ED1831">
        <w:rPr>
          <w:rFonts w:ascii="Times New Roman" w:eastAsia="Times New Roman" w:hAnsi="Times New Roman" w:cs="Times New Roman"/>
          <w:color w:val="000000"/>
        </w:rPr>
        <w:t xml:space="preserve"> use of OXBRYTA. Because these reactions are reported voluntarily from a population of uncertain size, it is not always possible to reliably estimate their frequency or establish a causal relationship to drug exposure:</w:t>
      </w:r>
    </w:p>
    <w:p w14:paraId="063460AD" w14:textId="77777777" w:rsidR="00ED1831" w:rsidRPr="00ED1831" w:rsidRDefault="00ED1831" w:rsidP="00ED1831">
      <w:pPr>
        <w:ind w:left="21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226D807A"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Drug reaction with eosinophilia and systemic symptoms (DRESS), Pruritis, Angioedema (including swelling of eyelid, face edema, lip swelling, and periorbital swelling).</w:t>
      </w:r>
    </w:p>
    <w:p w14:paraId="5DE68190" w14:textId="77777777" w:rsidR="00ED1831" w:rsidRPr="00ED1831" w:rsidRDefault="00ED1831" w:rsidP="00ED1831">
      <w:pPr>
        <w:spacing w:before="480"/>
        <w:outlineLvl w:val="0"/>
        <w:rPr>
          <w:rFonts w:ascii="Times New Roman" w:eastAsia="Times New Roman" w:hAnsi="Times New Roman" w:cs="Times New Roman"/>
          <w:b/>
          <w:bCs/>
          <w:color w:val="000000"/>
          <w:kern w:val="36"/>
        </w:rPr>
      </w:pPr>
      <w:bookmarkStart w:id="58" w:name="S7"/>
      <w:bookmarkStart w:id="59" w:name="section-7"/>
      <w:bookmarkEnd w:id="58"/>
      <w:bookmarkEnd w:id="59"/>
      <w:r w:rsidRPr="00ED1831">
        <w:rPr>
          <w:rFonts w:ascii="Times New Roman" w:eastAsia="Times New Roman" w:hAnsi="Times New Roman" w:cs="Times New Roman"/>
          <w:b/>
          <w:bCs/>
          <w:color w:val="000000"/>
          <w:kern w:val="36"/>
        </w:rPr>
        <w:t>7 DRUG INTERACTIONS</w:t>
      </w:r>
    </w:p>
    <w:p w14:paraId="6F0568D2"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60" w:name="S7.1"/>
      <w:bookmarkStart w:id="61" w:name="section-7.1"/>
      <w:bookmarkEnd w:id="60"/>
      <w:bookmarkEnd w:id="61"/>
      <w:r w:rsidRPr="00ED1831">
        <w:rPr>
          <w:rFonts w:ascii="Times New Roman" w:eastAsia="Times New Roman" w:hAnsi="Times New Roman" w:cs="Times New Roman"/>
          <w:b/>
          <w:bCs/>
          <w:color w:val="000000"/>
        </w:rPr>
        <w:t xml:space="preserve">7.1 Effect of Other Drugs on </w:t>
      </w:r>
      <w:proofErr w:type="spellStart"/>
      <w:r w:rsidRPr="00ED1831">
        <w:rPr>
          <w:rFonts w:ascii="Times New Roman" w:eastAsia="Times New Roman" w:hAnsi="Times New Roman" w:cs="Times New Roman"/>
          <w:b/>
          <w:bCs/>
          <w:color w:val="000000"/>
        </w:rPr>
        <w:t>Voxelotor</w:t>
      </w:r>
      <w:proofErr w:type="spellEnd"/>
    </w:p>
    <w:p w14:paraId="3D9335A1" w14:textId="77777777" w:rsidR="00ED1831" w:rsidRPr="00ED1831" w:rsidRDefault="00ED1831" w:rsidP="00ED1831">
      <w:pPr>
        <w:spacing w:before="144"/>
        <w:rPr>
          <w:rFonts w:ascii="Times New Roman" w:eastAsia="Times New Roman" w:hAnsi="Times New Roman" w:cs="Times New Roman"/>
          <w:color w:val="000000"/>
        </w:rPr>
      </w:pPr>
      <w:bookmarkStart w:id="62" w:name="ID_9cdca056-6f73-45be-84fe-e3954d7040af"/>
      <w:bookmarkStart w:id="63" w:name="section-7.1.1"/>
      <w:bookmarkEnd w:id="62"/>
      <w:bookmarkEnd w:id="63"/>
      <w:r w:rsidRPr="00ED1831">
        <w:rPr>
          <w:rFonts w:ascii="Times New Roman" w:eastAsia="Times New Roman" w:hAnsi="Times New Roman" w:cs="Times New Roman"/>
          <w:color w:val="000000"/>
        </w:rPr>
        <w:t>Strong or Moderate CYP3A4 Inducers</w:t>
      </w:r>
    </w:p>
    <w:p w14:paraId="537D2632"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Coadministration of strong or moderate CYP3A4 inducers may decrease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plasma and whole blood concentrations and may lead to reduced efficacy.</w:t>
      </w:r>
    </w:p>
    <w:p w14:paraId="032F3BA9"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Avoid coadministration of OXBRYTA with strong or moderate CYP3A4 inducers. Increase the OXBRYTA dosage when coadministration with a strong or moderate CYP3A4 inducer is unavoidable </w:t>
      </w:r>
      <w:r w:rsidRPr="00ED1831">
        <w:rPr>
          <w:rFonts w:ascii="Times New Roman" w:eastAsia="Times New Roman" w:hAnsi="Times New Roman" w:cs="Times New Roman"/>
          <w:i/>
          <w:iCs/>
          <w:color w:val="000000"/>
        </w:rPr>
        <w:t>[see </w:t>
      </w:r>
      <w:hyperlink r:id="rId85" w:anchor="S2.5" w:history="1">
        <w:r w:rsidRPr="00ED1831">
          <w:rPr>
            <w:rFonts w:ascii="Times New Roman" w:eastAsia="Times New Roman" w:hAnsi="Times New Roman" w:cs="Times New Roman"/>
            <w:i/>
            <w:iCs/>
            <w:color w:val="0000FF"/>
            <w:u w:val="single"/>
          </w:rPr>
          <w:t>Dosage and Administration (2.5</w:t>
        </w:r>
      </w:hyperlink>
      <w:r w:rsidRPr="00ED1831">
        <w:rPr>
          <w:rFonts w:ascii="Times New Roman" w:eastAsia="Times New Roman" w:hAnsi="Times New Roman" w:cs="Times New Roman"/>
          <w:i/>
          <w:iCs/>
          <w:color w:val="000000"/>
        </w:rPr>
        <w:t>, </w:t>
      </w:r>
      <w:hyperlink r:id="rId86" w:anchor="S2.6" w:history="1">
        <w:r w:rsidRPr="00ED1831">
          <w:rPr>
            <w:rFonts w:ascii="Times New Roman" w:eastAsia="Times New Roman" w:hAnsi="Times New Roman" w:cs="Times New Roman"/>
            <w:i/>
            <w:iCs/>
            <w:color w:val="0000FF"/>
            <w:u w:val="single"/>
          </w:rPr>
          <w:t>2.6)</w:t>
        </w:r>
      </w:hyperlink>
      <w:r w:rsidRPr="00ED1831">
        <w:rPr>
          <w:rFonts w:ascii="Times New Roman" w:eastAsia="Times New Roman" w:hAnsi="Times New Roman" w:cs="Times New Roman"/>
          <w:i/>
          <w:iCs/>
          <w:color w:val="000000"/>
        </w:rPr>
        <w:t> and </w:t>
      </w:r>
      <w:hyperlink r:id="rId87" w:anchor="S12.3" w:history="1">
        <w:r w:rsidRPr="00ED1831">
          <w:rPr>
            <w:rFonts w:ascii="Times New Roman" w:eastAsia="Times New Roman" w:hAnsi="Times New Roman" w:cs="Times New Roman"/>
            <w:i/>
            <w:iCs/>
            <w:color w:val="0000FF"/>
            <w:u w:val="single"/>
          </w:rPr>
          <w:t>Clinical Pharmacology (12.3)</w:t>
        </w:r>
      </w:hyperlink>
      <w:r w:rsidRPr="00ED1831">
        <w:rPr>
          <w:rFonts w:ascii="Times New Roman" w:eastAsia="Times New Roman" w:hAnsi="Times New Roman" w:cs="Times New Roman"/>
          <w:i/>
          <w:iCs/>
          <w:color w:val="000000"/>
        </w:rPr>
        <w:t>].</w:t>
      </w:r>
    </w:p>
    <w:p w14:paraId="461080A9"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64" w:name="S7.2"/>
      <w:bookmarkStart w:id="65" w:name="section-7.2"/>
      <w:bookmarkEnd w:id="64"/>
      <w:bookmarkEnd w:id="65"/>
      <w:r w:rsidRPr="00ED1831">
        <w:rPr>
          <w:rFonts w:ascii="Times New Roman" w:eastAsia="Times New Roman" w:hAnsi="Times New Roman" w:cs="Times New Roman"/>
          <w:b/>
          <w:bCs/>
          <w:color w:val="000000"/>
        </w:rPr>
        <w:t xml:space="preserve">7.2 Effect of </w:t>
      </w:r>
      <w:proofErr w:type="spellStart"/>
      <w:r w:rsidRPr="00ED1831">
        <w:rPr>
          <w:rFonts w:ascii="Times New Roman" w:eastAsia="Times New Roman" w:hAnsi="Times New Roman" w:cs="Times New Roman"/>
          <w:b/>
          <w:bCs/>
          <w:color w:val="000000"/>
        </w:rPr>
        <w:t>Voxelotor</w:t>
      </w:r>
      <w:proofErr w:type="spellEnd"/>
      <w:r w:rsidRPr="00ED1831">
        <w:rPr>
          <w:rFonts w:ascii="Times New Roman" w:eastAsia="Times New Roman" w:hAnsi="Times New Roman" w:cs="Times New Roman"/>
          <w:b/>
          <w:bCs/>
          <w:color w:val="000000"/>
        </w:rPr>
        <w:t xml:space="preserve"> on Other Drugs</w:t>
      </w:r>
    </w:p>
    <w:p w14:paraId="0224AB11" w14:textId="77777777" w:rsidR="00ED1831" w:rsidRPr="00ED1831" w:rsidRDefault="00ED1831" w:rsidP="00ED1831">
      <w:pPr>
        <w:spacing w:before="144"/>
        <w:rPr>
          <w:rFonts w:ascii="Times New Roman" w:eastAsia="Times New Roman" w:hAnsi="Times New Roman" w:cs="Times New Roman"/>
          <w:color w:val="000000"/>
        </w:rPr>
      </w:pP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increased the systemic exposure of midazolam (a sensitive CYP3A4 substrate) </w:t>
      </w:r>
      <w:r w:rsidRPr="00ED1831">
        <w:rPr>
          <w:rFonts w:ascii="Times New Roman" w:eastAsia="Times New Roman" w:hAnsi="Times New Roman" w:cs="Times New Roman"/>
          <w:i/>
          <w:iCs/>
          <w:color w:val="000000"/>
        </w:rPr>
        <w:t>[see </w:t>
      </w:r>
      <w:hyperlink r:id="rId88" w:anchor="S12.3" w:history="1">
        <w:r w:rsidRPr="00ED1831">
          <w:rPr>
            <w:rFonts w:ascii="Times New Roman" w:eastAsia="Times New Roman" w:hAnsi="Times New Roman" w:cs="Times New Roman"/>
            <w:i/>
            <w:iCs/>
            <w:color w:val="0000FF"/>
            <w:u w:val="single"/>
          </w:rPr>
          <w:t>Clinical Pharmacology (12.3)</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 Avoid coadministration of OXBRYTA with sensitive CYP3A4 substrates with a narrow therapeutic index. If concomitant use is unavoidable, consider dose reduction of the sensitive CYP3A4 substrate(s).</w:t>
      </w:r>
    </w:p>
    <w:p w14:paraId="53C36339"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66" w:name="S7.3"/>
      <w:bookmarkStart w:id="67" w:name="section-7.3"/>
      <w:bookmarkEnd w:id="66"/>
      <w:bookmarkEnd w:id="67"/>
      <w:r w:rsidRPr="00ED1831">
        <w:rPr>
          <w:rFonts w:ascii="Times New Roman" w:eastAsia="Times New Roman" w:hAnsi="Times New Roman" w:cs="Times New Roman"/>
          <w:b/>
          <w:bCs/>
          <w:color w:val="000000"/>
        </w:rPr>
        <w:t>7.3 Laboratory Test Interference</w:t>
      </w:r>
    </w:p>
    <w:p w14:paraId="09C25675"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OXBRYTA administration may interfere with measurement of Hb subtypes (</w:t>
      </w:r>
      <w:proofErr w:type="spellStart"/>
      <w:r w:rsidRPr="00ED1831">
        <w:rPr>
          <w:rFonts w:ascii="Times New Roman" w:eastAsia="Times New Roman" w:hAnsi="Times New Roman" w:cs="Times New Roman"/>
          <w:color w:val="000000"/>
        </w:rPr>
        <w:t>HbA</w:t>
      </w:r>
      <w:proofErr w:type="spellEnd"/>
      <w:r w:rsidRPr="00ED1831">
        <w:rPr>
          <w:rFonts w:ascii="Times New Roman" w:eastAsia="Times New Roman" w:hAnsi="Times New Roman" w:cs="Times New Roman"/>
          <w:color w:val="000000"/>
        </w:rPr>
        <w:t xml:space="preserve">, </w:t>
      </w:r>
      <w:proofErr w:type="spellStart"/>
      <w:r w:rsidRPr="00ED1831">
        <w:rPr>
          <w:rFonts w:ascii="Times New Roman" w:eastAsia="Times New Roman" w:hAnsi="Times New Roman" w:cs="Times New Roman"/>
          <w:color w:val="000000"/>
        </w:rPr>
        <w:t>HbS</w:t>
      </w:r>
      <w:proofErr w:type="spellEnd"/>
      <w:r w:rsidRPr="00ED1831">
        <w:rPr>
          <w:rFonts w:ascii="Times New Roman" w:eastAsia="Times New Roman" w:hAnsi="Times New Roman" w:cs="Times New Roman"/>
          <w:color w:val="000000"/>
        </w:rPr>
        <w:t xml:space="preserve">, and </w:t>
      </w:r>
      <w:proofErr w:type="spellStart"/>
      <w:r w:rsidRPr="00ED1831">
        <w:rPr>
          <w:rFonts w:ascii="Times New Roman" w:eastAsia="Times New Roman" w:hAnsi="Times New Roman" w:cs="Times New Roman"/>
          <w:color w:val="000000"/>
        </w:rPr>
        <w:t>HbF</w:t>
      </w:r>
      <w:proofErr w:type="spellEnd"/>
      <w:r w:rsidRPr="00ED1831">
        <w:rPr>
          <w:rFonts w:ascii="Times New Roman" w:eastAsia="Times New Roman" w:hAnsi="Times New Roman" w:cs="Times New Roman"/>
          <w:color w:val="000000"/>
        </w:rPr>
        <w:t>) by HPLC </w:t>
      </w:r>
      <w:r w:rsidRPr="00ED1831">
        <w:rPr>
          <w:rFonts w:ascii="Times New Roman" w:eastAsia="Times New Roman" w:hAnsi="Times New Roman" w:cs="Times New Roman"/>
          <w:i/>
          <w:iCs/>
          <w:color w:val="000000"/>
        </w:rPr>
        <w:t>[see </w:t>
      </w:r>
      <w:hyperlink r:id="rId89" w:anchor="S5.2" w:history="1">
        <w:r w:rsidRPr="00ED1831">
          <w:rPr>
            <w:rFonts w:ascii="Times New Roman" w:eastAsia="Times New Roman" w:hAnsi="Times New Roman" w:cs="Times New Roman"/>
            <w:i/>
            <w:iCs/>
            <w:color w:val="0000FF"/>
            <w:u w:val="single"/>
          </w:rPr>
          <w:t>Warnings and Precautions (5.2)</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 If precise quantitation of Hb species is required, chromatography should be performed when the patient has not received OXBRYTA therapy in the immediately preceding 10 days.</w:t>
      </w:r>
    </w:p>
    <w:p w14:paraId="7F7B7B53" w14:textId="77777777" w:rsidR="00ED1831" w:rsidRPr="00ED1831" w:rsidRDefault="00ED1831" w:rsidP="00ED1831">
      <w:pPr>
        <w:spacing w:before="480"/>
        <w:outlineLvl w:val="0"/>
        <w:rPr>
          <w:rFonts w:ascii="Times New Roman" w:eastAsia="Times New Roman" w:hAnsi="Times New Roman" w:cs="Times New Roman"/>
          <w:b/>
          <w:bCs/>
          <w:color w:val="000000"/>
          <w:kern w:val="36"/>
        </w:rPr>
      </w:pPr>
      <w:bookmarkStart w:id="68" w:name="S8"/>
      <w:bookmarkStart w:id="69" w:name="section-8"/>
      <w:bookmarkEnd w:id="68"/>
      <w:bookmarkEnd w:id="69"/>
      <w:r w:rsidRPr="00ED1831">
        <w:rPr>
          <w:rFonts w:ascii="Times New Roman" w:eastAsia="Times New Roman" w:hAnsi="Times New Roman" w:cs="Times New Roman"/>
          <w:b/>
          <w:bCs/>
          <w:color w:val="000000"/>
          <w:kern w:val="36"/>
        </w:rPr>
        <w:t xml:space="preserve">8 </w:t>
      </w:r>
      <w:proofErr w:type="gramStart"/>
      <w:r w:rsidRPr="00ED1831">
        <w:rPr>
          <w:rFonts w:ascii="Times New Roman" w:eastAsia="Times New Roman" w:hAnsi="Times New Roman" w:cs="Times New Roman"/>
          <w:b/>
          <w:bCs/>
          <w:color w:val="000000"/>
          <w:kern w:val="36"/>
        </w:rPr>
        <w:t>USE</w:t>
      </w:r>
      <w:proofErr w:type="gramEnd"/>
      <w:r w:rsidRPr="00ED1831">
        <w:rPr>
          <w:rFonts w:ascii="Times New Roman" w:eastAsia="Times New Roman" w:hAnsi="Times New Roman" w:cs="Times New Roman"/>
          <w:b/>
          <w:bCs/>
          <w:color w:val="000000"/>
          <w:kern w:val="36"/>
        </w:rPr>
        <w:t xml:space="preserve"> IN SPECIFIC POPULATIONS</w:t>
      </w:r>
    </w:p>
    <w:p w14:paraId="3F372187"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70" w:name="S8.1"/>
      <w:bookmarkStart w:id="71" w:name="section-8.1"/>
      <w:bookmarkEnd w:id="70"/>
      <w:bookmarkEnd w:id="71"/>
      <w:r w:rsidRPr="00ED1831">
        <w:rPr>
          <w:rFonts w:ascii="Times New Roman" w:eastAsia="Times New Roman" w:hAnsi="Times New Roman" w:cs="Times New Roman"/>
          <w:b/>
          <w:bCs/>
          <w:color w:val="000000"/>
        </w:rPr>
        <w:t>8.1 Pregnancy</w:t>
      </w:r>
    </w:p>
    <w:p w14:paraId="410E13FB" w14:textId="77777777" w:rsidR="00ED1831" w:rsidRPr="00ED1831" w:rsidRDefault="00ED1831" w:rsidP="00ED1831">
      <w:pPr>
        <w:spacing w:before="144"/>
        <w:rPr>
          <w:rFonts w:ascii="Times New Roman" w:eastAsia="Times New Roman" w:hAnsi="Times New Roman" w:cs="Times New Roman"/>
          <w:color w:val="000000"/>
        </w:rPr>
      </w:pPr>
      <w:bookmarkStart w:id="72" w:name="ID_93a32b3a-60b3-4411-85b1-16b13325d747"/>
      <w:bookmarkStart w:id="73" w:name="section-8.1.1"/>
      <w:bookmarkEnd w:id="72"/>
      <w:bookmarkEnd w:id="73"/>
      <w:r w:rsidRPr="00ED1831">
        <w:rPr>
          <w:rFonts w:ascii="Times New Roman" w:eastAsia="Times New Roman" w:hAnsi="Times New Roman" w:cs="Times New Roman"/>
          <w:color w:val="000000"/>
        </w:rPr>
        <w:t>Risk Summary</w:t>
      </w:r>
    </w:p>
    <w:p w14:paraId="54215927"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There are no available data on OXBRYTA use in pregnant women to evaluate for a drug-associated risk of major birth defects, miscarriage, or adverse maternal or fetal outcomes. In animal reproduction studies, oral administration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to pregnant rats and rabbits during organogenesis at exposures up to 2.8-times (rats) and 0.3-times (rabbits) the exposure at the maximum recommended human dose resulted in no adverse developmental effects </w:t>
      </w:r>
      <w:r w:rsidRPr="00ED1831">
        <w:rPr>
          <w:rFonts w:ascii="Times New Roman" w:eastAsia="Times New Roman" w:hAnsi="Times New Roman" w:cs="Times New Roman"/>
          <w:i/>
          <w:iCs/>
          <w:color w:val="000000"/>
        </w:rPr>
        <w:t>(see </w:t>
      </w:r>
      <w:hyperlink r:id="rId90" w:anchor="refdata" w:history="1">
        <w:r w:rsidRPr="00ED1831">
          <w:rPr>
            <w:rFonts w:ascii="Times New Roman" w:eastAsia="Times New Roman" w:hAnsi="Times New Roman" w:cs="Times New Roman"/>
            <w:i/>
            <w:iCs/>
            <w:color w:val="0000FF"/>
            <w:u w:val="single"/>
          </w:rPr>
          <w:t>Data</w:t>
        </w:r>
      </w:hyperlink>
      <w:r w:rsidRPr="00ED1831">
        <w:rPr>
          <w:rFonts w:ascii="Times New Roman" w:eastAsia="Times New Roman" w:hAnsi="Times New Roman" w:cs="Times New Roman"/>
          <w:i/>
          <w:iCs/>
          <w:color w:val="000000"/>
        </w:rPr>
        <w:t>).</w:t>
      </w:r>
    </w:p>
    <w:p w14:paraId="1E660643"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lastRenderedPageBreak/>
        <w:t>The estimated background risk of major birth defects and miscarriage for the indicated population is approximately 14% and up to 43%, respectively. All pregnancies have a background risk of birth defect, loss, or other adverse outcomes.</w:t>
      </w:r>
    </w:p>
    <w:p w14:paraId="4B0AEAB1"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There are adverse effects on maternal and fetal outcomes associated with SCD in pregnancy </w:t>
      </w:r>
      <w:r w:rsidRPr="00ED1831">
        <w:rPr>
          <w:rFonts w:ascii="Times New Roman" w:eastAsia="Times New Roman" w:hAnsi="Times New Roman" w:cs="Times New Roman"/>
          <w:i/>
          <w:iCs/>
          <w:color w:val="000000"/>
        </w:rPr>
        <w:t>(see </w:t>
      </w:r>
      <w:hyperlink r:id="rId91" w:anchor="refclincon" w:history="1">
        <w:r w:rsidRPr="00ED1831">
          <w:rPr>
            <w:rFonts w:ascii="Times New Roman" w:eastAsia="Times New Roman" w:hAnsi="Times New Roman" w:cs="Times New Roman"/>
            <w:i/>
            <w:iCs/>
            <w:color w:val="0000FF"/>
            <w:u w:val="single"/>
          </w:rPr>
          <w:t>Clinical Considerations</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 OXBRYTA should only be used during pregnancy if the benefit of the drug outweighs the potential risk.</w:t>
      </w:r>
    </w:p>
    <w:p w14:paraId="7CDA6489" w14:textId="77777777" w:rsidR="00ED1831" w:rsidRPr="00ED1831" w:rsidRDefault="00ED1831" w:rsidP="00ED1831">
      <w:pPr>
        <w:spacing w:before="144"/>
        <w:rPr>
          <w:rFonts w:ascii="Times New Roman" w:eastAsia="Times New Roman" w:hAnsi="Times New Roman" w:cs="Times New Roman"/>
          <w:color w:val="000000"/>
        </w:rPr>
      </w:pPr>
      <w:bookmarkStart w:id="74" w:name="clinical"/>
      <w:bookmarkStart w:id="75" w:name="section-8.1.2"/>
      <w:bookmarkStart w:id="76" w:name="refclincon"/>
      <w:bookmarkEnd w:id="74"/>
      <w:bookmarkEnd w:id="75"/>
      <w:bookmarkEnd w:id="76"/>
      <w:r w:rsidRPr="00ED1831">
        <w:rPr>
          <w:rFonts w:ascii="Times New Roman" w:eastAsia="Times New Roman" w:hAnsi="Times New Roman" w:cs="Times New Roman"/>
          <w:color w:val="000000"/>
        </w:rPr>
        <w:t>Clinical Considerations</w:t>
      </w:r>
    </w:p>
    <w:p w14:paraId="614FCC9C" w14:textId="77777777" w:rsidR="00ED1831" w:rsidRPr="00ED1831" w:rsidRDefault="00ED1831" w:rsidP="00ED1831">
      <w:pPr>
        <w:spacing w:before="144"/>
        <w:rPr>
          <w:rFonts w:ascii="Times New Roman" w:eastAsia="Times New Roman" w:hAnsi="Times New Roman" w:cs="Times New Roman"/>
          <w:color w:val="000000"/>
        </w:rPr>
      </w:pPr>
      <w:bookmarkStart w:id="77" w:name="ID_d1206001-4b1c-45bf-ad96-d731d1ca4114"/>
      <w:bookmarkStart w:id="78" w:name="section-8.1.2.1"/>
      <w:bookmarkEnd w:id="77"/>
      <w:bookmarkEnd w:id="78"/>
      <w:r w:rsidRPr="00ED1831">
        <w:rPr>
          <w:rFonts w:ascii="Times New Roman" w:eastAsia="Times New Roman" w:hAnsi="Times New Roman" w:cs="Times New Roman"/>
          <w:i/>
          <w:iCs/>
          <w:color w:val="000000"/>
        </w:rPr>
        <w:t>Disease-Associated Maternal and/or Embryo/Fetal Risk</w:t>
      </w:r>
    </w:p>
    <w:p w14:paraId="4D696BA4"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Women with SCD have an increased risk of adverse pregnancy outcomes for the mother and the fetus. Pregnant women are at greater risk for </w:t>
      </w:r>
      <w:proofErr w:type="spellStart"/>
      <w:r w:rsidRPr="00ED1831">
        <w:rPr>
          <w:rFonts w:ascii="Times New Roman" w:eastAsia="Times New Roman" w:hAnsi="Times New Roman" w:cs="Times New Roman"/>
          <w:color w:val="000000"/>
        </w:rPr>
        <w:t>vasoocclusive</w:t>
      </w:r>
      <w:proofErr w:type="spellEnd"/>
      <w:r w:rsidRPr="00ED1831">
        <w:rPr>
          <w:rFonts w:ascii="Times New Roman" w:eastAsia="Times New Roman" w:hAnsi="Times New Roman" w:cs="Times New Roman"/>
          <w:color w:val="000000"/>
        </w:rPr>
        <w:t xml:space="preserve"> crises, pre-eclampsia, eclampsia, and maternal mortality. For the fetus, there is an increased risk for intrauterine growth restriction, preterm delivery, low birth weight, and perinatal mortality.</w:t>
      </w:r>
    </w:p>
    <w:p w14:paraId="60534CCA" w14:textId="77777777" w:rsidR="00ED1831" w:rsidRPr="00ED1831" w:rsidRDefault="00ED1831" w:rsidP="00ED1831">
      <w:pPr>
        <w:spacing w:before="144"/>
        <w:rPr>
          <w:rFonts w:ascii="Times New Roman" w:eastAsia="Times New Roman" w:hAnsi="Times New Roman" w:cs="Times New Roman"/>
          <w:color w:val="000000"/>
        </w:rPr>
      </w:pPr>
      <w:bookmarkStart w:id="79" w:name="data"/>
      <w:bookmarkStart w:id="80" w:name="section-8.1.3"/>
      <w:bookmarkStart w:id="81" w:name="refdata"/>
      <w:bookmarkEnd w:id="79"/>
      <w:bookmarkEnd w:id="80"/>
      <w:bookmarkEnd w:id="81"/>
      <w:r w:rsidRPr="00ED1831">
        <w:rPr>
          <w:rFonts w:ascii="Times New Roman" w:eastAsia="Times New Roman" w:hAnsi="Times New Roman" w:cs="Times New Roman"/>
          <w:color w:val="000000"/>
        </w:rPr>
        <w:t>Data</w:t>
      </w:r>
    </w:p>
    <w:p w14:paraId="76B5D5E5" w14:textId="77777777" w:rsidR="00ED1831" w:rsidRPr="00ED1831" w:rsidRDefault="00ED1831" w:rsidP="00ED1831">
      <w:pPr>
        <w:spacing w:before="144"/>
        <w:rPr>
          <w:rFonts w:ascii="Times New Roman" w:eastAsia="Times New Roman" w:hAnsi="Times New Roman" w:cs="Times New Roman"/>
          <w:color w:val="000000"/>
        </w:rPr>
      </w:pPr>
      <w:bookmarkStart w:id="82" w:name="ID_6797bf2c-cbfb-43a5-bb66-bb427a551aaa"/>
      <w:bookmarkStart w:id="83" w:name="section-8.1.3.1"/>
      <w:bookmarkEnd w:id="82"/>
      <w:bookmarkEnd w:id="83"/>
      <w:r w:rsidRPr="00ED1831">
        <w:rPr>
          <w:rFonts w:ascii="Times New Roman" w:eastAsia="Times New Roman" w:hAnsi="Times New Roman" w:cs="Times New Roman"/>
          <w:i/>
          <w:iCs/>
          <w:color w:val="000000"/>
        </w:rPr>
        <w:t>Animal Data</w:t>
      </w:r>
    </w:p>
    <w:p w14:paraId="38DB9D57"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In embryo-fetal development studies,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was administered orally to pregnant rats at 15, 50, and 250 mg/kg/day (gestation days 7 through 17) and rabbits at 25, 75, and 150 mg/kg/day (gestation days 7 through 19) through organogenesis. Maternal toxicity was observed at the highest dose levels in these studies equivalent to 2.8-times (rats) and 0.3-times (rabbits) the exposures in patients receiving OXBRYTA at the recommended daily dose. There was no evidence of adverse developmental outcomes in rats or rabbits.</w:t>
      </w:r>
    </w:p>
    <w:p w14:paraId="5C2FE2B4"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In a pre- and postnatal development study,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was administered orally to pregnant rats at 15, 50 and 250 mg/kg/day (gestation day 6 through lactation day 20). Maternal gestational body weights were decreased at 250 mg/kg/day, which continued to the end of lactation. The findings in offspring included reduced survival and reduced body weights throughout lactation, weaning and maturation. The effects in offspring were observed at the maternal dose of 250 mg/kg/day with an exposure approximately 2.8-times the exposure in patients at the recommended dose.</w:t>
      </w:r>
    </w:p>
    <w:p w14:paraId="3418F3E6"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84" w:name="S8.2"/>
      <w:bookmarkStart w:id="85" w:name="section-8.2"/>
      <w:bookmarkEnd w:id="84"/>
      <w:bookmarkEnd w:id="85"/>
      <w:r w:rsidRPr="00ED1831">
        <w:rPr>
          <w:rFonts w:ascii="Times New Roman" w:eastAsia="Times New Roman" w:hAnsi="Times New Roman" w:cs="Times New Roman"/>
          <w:b/>
          <w:bCs/>
          <w:color w:val="000000"/>
        </w:rPr>
        <w:t>8.2 Lactation</w:t>
      </w:r>
    </w:p>
    <w:p w14:paraId="3C519699" w14:textId="77777777" w:rsidR="00ED1831" w:rsidRPr="00ED1831" w:rsidRDefault="00ED1831" w:rsidP="00ED1831">
      <w:pPr>
        <w:spacing w:before="144"/>
        <w:rPr>
          <w:rFonts w:ascii="Times New Roman" w:eastAsia="Times New Roman" w:hAnsi="Times New Roman" w:cs="Times New Roman"/>
          <w:color w:val="000000"/>
        </w:rPr>
      </w:pPr>
      <w:bookmarkStart w:id="86" w:name="ID_3212dcf3-ee1a-4e1f-973a-09a80c843fcb"/>
      <w:bookmarkStart w:id="87" w:name="section-8.2.1"/>
      <w:bookmarkEnd w:id="86"/>
      <w:bookmarkEnd w:id="87"/>
      <w:r w:rsidRPr="00ED1831">
        <w:rPr>
          <w:rFonts w:ascii="Times New Roman" w:eastAsia="Times New Roman" w:hAnsi="Times New Roman" w:cs="Times New Roman"/>
          <w:color w:val="000000"/>
        </w:rPr>
        <w:t>Risk Summary</w:t>
      </w:r>
    </w:p>
    <w:p w14:paraId="210B2F78"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There are no data on the presence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in human milk, the effects on the breastfed child, or the effects on milk production.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was detected in milk in lactating rats. Plasma concentrations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in pregnant rats were higher than the concentration in milk. When a drug is present in animal milk, it is likely that the drug will be present in human milk. The concentration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in animal milk does not necessarily predict the concentration of drug in human milk. Because of the potential for serious adverse reactions in the breastfed child, including changes in the hematopoietic system, advise patients that breastfeeding is not recommended during treatment with OXBRYTA, and for at least 2 weeks after the last dose.</w:t>
      </w:r>
    </w:p>
    <w:p w14:paraId="4528D7CC"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88" w:name="S8.4"/>
      <w:bookmarkStart w:id="89" w:name="section-8.3"/>
      <w:bookmarkEnd w:id="88"/>
      <w:bookmarkEnd w:id="89"/>
      <w:r w:rsidRPr="00ED1831">
        <w:rPr>
          <w:rFonts w:ascii="Times New Roman" w:eastAsia="Times New Roman" w:hAnsi="Times New Roman" w:cs="Times New Roman"/>
          <w:b/>
          <w:bCs/>
          <w:color w:val="000000"/>
        </w:rPr>
        <w:t>8.4 Pediatric Use</w:t>
      </w:r>
    </w:p>
    <w:p w14:paraId="4AEB98B5"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lastRenderedPageBreak/>
        <w:t>The safety and effectiveness of OXBRYTA for SCD have been established in pediatric patients aged 4 years and older. The safety and efficacy of OXBRYTA in pediatric patients with SCD below the age of 4 years have not been established.</w:t>
      </w:r>
    </w:p>
    <w:p w14:paraId="4B4E2B4C"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Use of OXBRYTA in pediatric patients 12 to &lt;17 years for SCD is supported by evidence from an adequate and well-controlled study in adults and pediatric patients (HOPE trial). The HOPE trial enrolled 26 pediatric patients aged 12 to &lt;17 years, in which 12 pediatric patients received OXBRYTA 1,500 mg once daily and 14 pediatric patients received OXBRYTA 900 mg once daily </w:t>
      </w:r>
      <w:r w:rsidRPr="00ED1831">
        <w:rPr>
          <w:rFonts w:ascii="Times New Roman" w:eastAsia="Times New Roman" w:hAnsi="Times New Roman" w:cs="Times New Roman"/>
          <w:i/>
          <w:iCs/>
          <w:color w:val="000000"/>
        </w:rPr>
        <w:t>[see </w:t>
      </w:r>
      <w:hyperlink r:id="rId92" w:anchor="S6.1" w:history="1">
        <w:r w:rsidRPr="00ED1831">
          <w:rPr>
            <w:rFonts w:ascii="Times New Roman" w:eastAsia="Times New Roman" w:hAnsi="Times New Roman" w:cs="Times New Roman"/>
            <w:i/>
            <w:iCs/>
            <w:color w:val="0000FF"/>
            <w:u w:val="single"/>
          </w:rPr>
          <w:t>Adverse Reactions (6.1)</w:t>
        </w:r>
      </w:hyperlink>
      <w:r w:rsidRPr="00ED1831">
        <w:rPr>
          <w:rFonts w:ascii="Times New Roman" w:eastAsia="Times New Roman" w:hAnsi="Times New Roman" w:cs="Times New Roman"/>
          <w:i/>
          <w:iCs/>
          <w:color w:val="000000"/>
        </w:rPr>
        <w:t>, </w:t>
      </w:r>
      <w:hyperlink r:id="rId93" w:anchor="S12.3" w:history="1">
        <w:r w:rsidRPr="00ED1831">
          <w:rPr>
            <w:rFonts w:ascii="Times New Roman" w:eastAsia="Times New Roman" w:hAnsi="Times New Roman" w:cs="Times New Roman"/>
            <w:i/>
            <w:iCs/>
            <w:color w:val="0000FF"/>
            <w:u w:val="single"/>
          </w:rPr>
          <w:t>Clinical Pharmacology (12.3)</w:t>
        </w:r>
      </w:hyperlink>
      <w:r w:rsidRPr="00ED1831">
        <w:rPr>
          <w:rFonts w:ascii="Times New Roman" w:eastAsia="Times New Roman" w:hAnsi="Times New Roman" w:cs="Times New Roman"/>
          <w:i/>
          <w:iCs/>
          <w:color w:val="000000"/>
        </w:rPr>
        <w:t>, and </w:t>
      </w:r>
      <w:hyperlink r:id="rId94" w:anchor="S14.1" w:history="1">
        <w:r w:rsidRPr="00ED1831">
          <w:rPr>
            <w:rFonts w:ascii="Times New Roman" w:eastAsia="Times New Roman" w:hAnsi="Times New Roman" w:cs="Times New Roman"/>
            <w:i/>
            <w:iCs/>
            <w:color w:val="0000FF"/>
            <w:u w:val="single"/>
          </w:rPr>
          <w:t>Clinical Studies (14.1)</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w:t>
      </w:r>
    </w:p>
    <w:p w14:paraId="10DFF0C2"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Use of OXBRYTA in pediatric patients 4 to &lt;12 years for SCD is supported by evidence from an open-label, Phase 2 study. The study enrolled 45 pediatric patients aged 4 to &lt;12 years and 11 patients aged 12 to &lt;17 years with SCD. Patients 12 to &lt;17 years received OXBRYTA 1,500 mg once daily. Patients 4 to &lt;12 years were administered OXBRYTA based on body weight. OXBRYTA doses of 600 mg, 900 mg, or 1,500 mg once daily were administered to patients weighing 10 kg to &lt;20 kg, 20 kg to &lt;40 kg, or ≥40 kg, respectively </w:t>
      </w:r>
      <w:r w:rsidRPr="00ED1831">
        <w:rPr>
          <w:rFonts w:ascii="Times New Roman" w:eastAsia="Times New Roman" w:hAnsi="Times New Roman" w:cs="Times New Roman"/>
          <w:i/>
          <w:iCs/>
          <w:color w:val="000000"/>
        </w:rPr>
        <w:t>[see </w:t>
      </w:r>
      <w:hyperlink r:id="rId95" w:anchor="S6.1" w:history="1">
        <w:r w:rsidRPr="00ED1831">
          <w:rPr>
            <w:rFonts w:ascii="Times New Roman" w:eastAsia="Times New Roman" w:hAnsi="Times New Roman" w:cs="Times New Roman"/>
            <w:i/>
            <w:iCs/>
            <w:color w:val="0000FF"/>
            <w:u w:val="single"/>
          </w:rPr>
          <w:t>Adverse Reactions (6.1)</w:t>
        </w:r>
      </w:hyperlink>
      <w:r w:rsidRPr="00ED1831">
        <w:rPr>
          <w:rFonts w:ascii="Times New Roman" w:eastAsia="Times New Roman" w:hAnsi="Times New Roman" w:cs="Times New Roman"/>
          <w:i/>
          <w:iCs/>
          <w:color w:val="000000"/>
        </w:rPr>
        <w:t>, </w:t>
      </w:r>
      <w:hyperlink r:id="rId96" w:anchor="S12.3" w:history="1">
        <w:r w:rsidRPr="00ED1831">
          <w:rPr>
            <w:rFonts w:ascii="Times New Roman" w:eastAsia="Times New Roman" w:hAnsi="Times New Roman" w:cs="Times New Roman"/>
            <w:i/>
            <w:iCs/>
            <w:color w:val="0000FF"/>
            <w:u w:val="single"/>
          </w:rPr>
          <w:t>Clinical Pharmacology (12.3)</w:t>
        </w:r>
      </w:hyperlink>
      <w:r w:rsidRPr="00ED1831">
        <w:rPr>
          <w:rFonts w:ascii="Times New Roman" w:eastAsia="Times New Roman" w:hAnsi="Times New Roman" w:cs="Times New Roman"/>
          <w:i/>
          <w:iCs/>
          <w:color w:val="000000"/>
        </w:rPr>
        <w:t>, and </w:t>
      </w:r>
      <w:hyperlink r:id="rId97" w:anchor="S14.2" w:history="1">
        <w:r w:rsidRPr="00ED1831">
          <w:rPr>
            <w:rFonts w:ascii="Times New Roman" w:eastAsia="Times New Roman" w:hAnsi="Times New Roman" w:cs="Times New Roman"/>
            <w:i/>
            <w:iCs/>
            <w:color w:val="0000FF"/>
            <w:u w:val="single"/>
          </w:rPr>
          <w:t>Clinical Studies (14.2)</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w:t>
      </w:r>
    </w:p>
    <w:p w14:paraId="7A23F666"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Pharmacokinetics, safety and efficacy were similar across the pediatric age groups and across pediatric and adult patients </w:t>
      </w:r>
      <w:r w:rsidRPr="00ED1831">
        <w:rPr>
          <w:rFonts w:ascii="Times New Roman" w:eastAsia="Times New Roman" w:hAnsi="Times New Roman" w:cs="Times New Roman"/>
          <w:i/>
          <w:iCs/>
          <w:color w:val="000000"/>
        </w:rPr>
        <w:t>[see </w:t>
      </w:r>
      <w:hyperlink r:id="rId98" w:anchor="S2" w:history="1">
        <w:r w:rsidRPr="00ED1831">
          <w:rPr>
            <w:rFonts w:ascii="Times New Roman" w:eastAsia="Times New Roman" w:hAnsi="Times New Roman" w:cs="Times New Roman"/>
            <w:i/>
            <w:iCs/>
            <w:color w:val="0000FF"/>
            <w:u w:val="single"/>
          </w:rPr>
          <w:t>Dosage and Administration (2)</w:t>
        </w:r>
      </w:hyperlink>
      <w:r w:rsidRPr="00ED1831">
        <w:rPr>
          <w:rFonts w:ascii="Times New Roman" w:eastAsia="Times New Roman" w:hAnsi="Times New Roman" w:cs="Times New Roman"/>
          <w:color w:val="000000"/>
        </w:rPr>
        <w:t>, </w:t>
      </w:r>
      <w:hyperlink r:id="rId99" w:anchor="S12.3" w:history="1">
        <w:r w:rsidRPr="00ED1831">
          <w:rPr>
            <w:rFonts w:ascii="Times New Roman" w:eastAsia="Times New Roman" w:hAnsi="Times New Roman" w:cs="Times New Roman"/>
            <w:i/>
            <w:iCs/>
            <w:color w:val="0000FF"/>
            <w:u w:val="single"/>
          </w:rPr>
          <w:t>Clinical Pharmacology (12.3)</w:t>
        </w:r>
      </w:hyperlink>
      <w:r w:rsidRPr="00ED1831">
        <w:rPr>
          <w:rFonts w:ascii="Times New Roman" w:eastAsia="Times New Roman" w:hAnsi="Times New Roman" w:cs="Times New Roman"/>
          <w:i/>
          <w:iCs/>
          <w:color w:val="000000"/>
        </w:rPr>
        <w:t> and </w:t>
      </w:r>
      <w:hyperlink r:id="rId100" w:anchor="S14" w:history="1">
        <w:r w:rsidRPr="00ED1831">
          <w:rPr>
            <w:rFonts w:ascii="Times New Roman" w:eastAsia="Times New Roman" w:hAnsi="Times New Roman" w:cs="Times New Roman"/>
            <w:i/>
            <w:iCs/>
            <w:color w:val="0000FF"/>
            <w:u w:val="single"/>
          </w:rPr>
          <w:t>Clinical Studies (14)</w:t>
        </w:r>
      </w:hyperlink>
      <w:r w:rsidRPr="00ED1831">
        <w:rPr>
          <w:rFonts w:ascii="Times New Roman" w:eastAsia="Times New Roman" w:hAnsi="Times New Roman" w:cs="Times New Roman"/>
          <w:i/>
          <w:iCs/>
          <w:color w:val="000000"/>
        </w:rPr>
        <w:t>].</w:t>
      </w:r>
    </w:p>
    <w:p w14:paraId="50B0A289"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The adverse reactions observed were similar across the pediatric age groups and across pediatric and adult patients </w:t>
      </w:r>
      <w:r w:rsidRPr="00ED1831">
        <w:rPr>
          <w:rFonts w:ascii="Times New Roman" w:eastAsia="Times New Roman" w:hAnsi="Times New Roman" w:cs="Times New Roman"/>
          <w:i/>
          <w:iCs/>
          <w:color w:val="000000"/>
        </w:rPr>
        <w:t>[see </w:t>
      </w:r>
      <w:hyperlink r:id="rId101" w:anchor="S6.1" w:history="1">
        <w:r w:rsidRPr="00ED1831">
          <w:rPr>
            <w:rFonts w:ascii="Times New Roman" w:eastAsia="Times New Roman" w:hAnsi="Times New Roman" w:cs="Times New Roman"/>
            <w:i/>
            <w:iCs/>
            <w:color w:val="0000FF"/>
            <w:u w:val="single"/>
          </w:rPr>
          <w:t>Adverse Reactions (6.1)</w:t>
        </w:r>
      </w:hyperlink>
      <w:r w:rsidRPr="00ED1831">
        <w:rPr>
          <w:rFonts w:ascii="Times New Roman" w:eastAsia="Times New Roman" w:hAnsi="Times New Roman" w:cs="Times New Roman"/>
          <w:i/>
          <w:iCs/>
          <w:color w:val="000000"/>
        </w:rPr>
        <w:t>].</w:t>
      </w:r>
    </w:p>
    <w:p w14:paraId="235848CC"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90" w:name="S8.5"/>
      <w:bookmarkStart w:id="91" w:name="section-8.4"/>
      <w:bookmarkEnd w:id="90"/>
      <w:bookmarkEnd w:id="91"/>
      <w:r w:rsidRPr="00ED1831">
        <w:rPr>
          <w:rFonts w:ascii="Times New Roman" w:eastAsia="Times New Roman" w:hAnsi="Times New Roman" w:cs="Times New Roman"/>
          <w:b/>
          <w:bCs/>
          <w:color w:val="000000"/>
        </w:rPr>
        <w:t>8.5 Geriatric Use</w:t>
      </w:r>
    </w:p>
    <w:p w14:paraId="0CED8A96"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Clinical studies of OXBRYTA did not include </w:t>
      </w:r>
      <w:proofErr w:type="gramStart"/>
      <w:r w:rsidRPr="00ED1831">
        <w:rPr>
          <w:rFonts w:ascii="Times New Roman" w:eastAsia="Times New Roman" w:hAnsi="Times New Roman" w:cs="Times New Roman"/>
          <w:color w:val="000000"/>
        </w:rPr>
        <w:t>sufficient numbers of</w:t>
      </w:r>
      <w:proofErr w:type="gramEnd"/>
      <w:r w:rsidRPr="00ED1831">
        <w:rPr>
          <w:rFonts w:ascii="Times New Roman" w:eastAsia="Times New Roman" w:hAnsi="Times New Roman" w:cs="Times New Roman"/>
          <w:color w:val="000000"/>
        </w:rPr>
        <w:t xml:space="preserve"> subjects aged 65 and over to determine whether they respond differently from younger subjects.</w:t>
      </w:r>
    </w:p>
    <w:p w14:paraId="0FEA531E"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92" w:name="S8.6"/>
      <w:bookmarkStart w:id="93" w:name="section-8.5"/>
      <w:bookmarkEnd w:id="92"/>
      <w:bookmarkEnd w:id="93"/>
      <w:r w:rsidRPr="00ED1831">
        <w:rPr>
          <w:rFonts w:ascii="Times New Roman" w:eastAsia="Times New Roman" w:hAnsi="Times New Roman" w:cs="Times New Roman"/>
          <w:b/>
          <w:bCs/>
          <w:color w:val="000000"/>
        </w:rPr>
        <w:t>8.6 Hepatic Impairment</w:t>
      </w:r>
    </w:p>
    <w:p w14:paraId="2B836956"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Severe hepatic impairment increases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exposures </w:t>
      </w:r>
      <w:r w:rsidRPr="00ED1831">
        <w:rPr>
          <w:rFonts w:ascii="Times New Roman" w:eastAsia="Times New Roman" w:hAnsi="Times New Roman" w:cs="Times New Roman"/>
          <w:i/>
          <w:iCs/>
          <w:color w:val="000000"/>
        </w:rPr>
        <w:t>[see </w:t>
      </w:r>
      <w:hyperlink r:id="rId102" w:anchor="S12.3" w:history="1">
        <w:r w:rsidRPr="00ED1831">
          <w:rPr>
            <w:rFonts w:ascii="Times New Roman" w:eastAsia="Times New Roman" w:hAnsi="Times New Roman" w:cs="Times New Roman"/>
            <w:i/>
            <w:iCs/>
            <w:color w:val="0000FF"/>
            <w:u w:val="single"/>
          </w:rPr>
          <w:t>Clinical Pharmacology (12.3)</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 Reduce OXBRYTA dose </w:t>
      </w:r>
      <w:r w:rsidRPr="00ED1831">
        <w:rPr>
          <w:rFonts w:ascii="Times New Roman" w:eastAsia="Times New Roman" w:hAnsi="Times New Roman" w:cs="Times New Roman"/>
          <w:i/>
          <w:iCs/>
          <w:color w:val="000000"/>
        </w:rPr>
        <w:t>[see </w:t>
      </w:r>
      <w:hyperlink r:id="rId103" w:anchor="S2.3" w:history="1">
        <w:r w:rsidRPr="00ED1831">
          <w:rPr>
            <w:rFonts w:ascii="Times New Roman" w:eastAsia="Times New Roman" w:hAnsi="Times New Roman" w:cs="Times New Roman"/>
            <w:i/>
            <w:iCs/>
            <w:color w:val="0000FF"/>
            <w:u w:val="single"/>
          </w:rPr>
          <w:t>Dosage and Administration (2.3</w:t>
        </w:r>
      </w:hyperlink>
      <w:r w:rsidRPr="00ED1831">
        <w:rPr>
          <w:rFonts w:ascii="Times New Roman" w:eastAsia="Times New Roman" w:hAnsi="Times New Roman" w:cs="Times New Roman"/>
          <w:i/>
          <w:iCs/>
          <w:color w:val="000000"/>
        </w:rPr>
        <w:t>, </w:t>
      </w:r>
      <w:hyperlink r:id="rId104" w:anchor="S2.4" w:history="1">
        <w:r w:rsidRPr="00ED1831">
          <w:rPr>
            <w:rFonts w:ascii="Times New Roman" w:eastAsia="Times New Roman" w:hAnsi="Times New Roman" w:cs="Times New Roman"/>
            <w:i/>
            <w:iCs/>
            <w:color w:val="0000FF"/>
            <w:u w:val="single"/>
          </w:rPr>
          <w:t>2.4)</w:t>
        </w:r>
      </w:hyperlink>
      <w:r w:rsidRPr="00ED1831">
        <w:rPr>
          <w:rFonts w:ascii="Times New Roman" w:eastAsia="Times New Roman" w:hAnsi="Times New Roman" w:cs="Times New Roman"/>
          <w:i/>
          <w:iCs/>
          <w:color w:val="000000"/>
        </w:rPr>
        <w:t>].</w:t>
      </w:r>
    </w:p>
    <w:p w14:paraId="6B6CCE00" w14:textId="77777777" w:rsidR="00ED1831" w:rsidRPr="00ED1831" w:rsidRDefault="00ED1831" w:rsidP="00ED1831">
      <w:pPr>
        <w:spacing w:before="480"/>
        <w:outlineLvl w:val="0"/>
        <w:rPr>
          <w:rFonts w:ascii="Times New Roman" w:eastAsia="Times New Roman" w:hAnsi="Times New Roman" w:cs="Times New Roman"/>
          <w:b/>
          <w:bCs/>
          <w:color w:val="000000"/>
          <w:kern w:val="36"/>
        </w:rPr>
      </w:pPr>
      <w:bookmarkStart w:id="94" w:name="S11"/>
      <w:bookmarkStart w:id="95" w:name="section-9"/>
      <w:bookmarkEnd w:id="94"/>
      <w:bookmarkEnd w:id="95"/>
      <w:r w:rsidRPr="00ED1831">
        <w:rPr>
          <w:rFonts w:ascii="Times New Roman" w:eastAsia="Times New Roman" w:hAnsi="Times New Roman" w:cs="Times New Roman"/>
          <w:b/>
          <w:bCs/>
          <w:color w:val="000000"/>
          <w:kern w:val="36"/>
        </w:rPr>
        <w:t xml:space="preserve">11 </w:t>
      </w:r>
      <w:proofErr w:type="gramStart"/>
      <w:r w:rsidRPr="00ED1831">
        <w:rPr>
          <w:rFonts w:ascii="Times New Roman" w:eastAsia="Times New Roman" w:hAnsi="Times New Roman" w:cs="Times New Roman"/>
          <w:b/>
          <w:bCs/>
          <w:color w:val="000000"/>
          <w:kern w:val="36"/>
        </w:rPr>
        <w:t>DESCRIPTION</w:t>
      </w:r>
      <w:proofErr w:type="gramEnd"/>
    </w:p>
    <w:p w14:paraId="4827B3F6"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OXBRYTA contains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a hemoglobin S polymerization inhibitor. The chemical name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is 2-hydroxy-6-((2-(1-isopropyl-1</w:t>
      </w:r>
      <w:r w:rsidRPr="00ED1831">
        <w:rPr>
          <w:rFonts w:ascii="Times New Roman" w:eastAsia="Times New Roman" w:hAnsi="Times New Roman" w:cs="Times New Roman"/>
          <w:i/>
          <w:iCs/>
          <w:color w:val="000000"/>
        </w:rPr>
        <w:t>H</w:t>
      </w:r>
      <w:r w:rsidRPr="00ED1831">
        <w:rPr>
          <w:rFonts w:ascii="Times New Roman" w:eastAsia="Times New Roman" w:hAnsi="Times New Roman" w:cs="Times New Roman"/>
          <w:color w:val="000000"/>
        </w:rPr>
        <w:t>-pyrazol-5-</w:t>
      </w:r>
      <w:proofErr w:type="gramStart"/>
      <w:r w:rsidRPr="00ED1831">
        <w:rPr>
          <w:rFonts w:ascii="Times New Roman" w:eastAsia="Times New Roman" w:hAnsi="Times New Roman" w:cs="Times New Roman"/>
          <w:color w:val="000000"/>
        </w:rPr>
        <w:t>yl)pyridin</w:t>
      </w:r>
      <w:proofErr w:type="gramEnd"/>
      <w:r w:rsidRPr="00ED1831">
        <w:rPr>
          <w:rFonts w:ascii="Times New Roman" w:eastAsia="Times New Roman" w:hAnsi="Times New Roman" w:cs="Times New Roman"/>
          <w:color w:val="000000"/>
        </w:rPr>
        <w:t>-3-yl)methoxy)benzaldehyde with a molecular formula of C</w:t>
      </w:r>
      <w:r w:rsidRPr="00ED1831">
        <w:rPr>
          <w:rFonts w:ascii="Times New Roman" w:eastAsia="Times New Roman" w:hAnsi="Times New Roman" w:cs="Times New Roman"/>
          <w:color w:val="000000"/>
          <w:sz w:val="19"/>
          <w:szCs w:val="19"/>
        </w:rPr>
        <w:t>19</w:t>
      </w:r>
      <w:r w:rsidRPr="00ED1831">
        <w:rPr>
          <w:rFonts w:ascii="Times New Roman" w:eastAsia="Times New Roman" w:hAnsi="Times New Roman" w:cs="Times New Roman"/>
          <w:color w:val="000000"/>
        </w:rPr>
        <w:t>H</w:t>
      </w:r>
      <w:r w:rsidRPr="00ED1831">
        <w:rPr>
          <w:rFonts w:ascii="Times New Roman" w:eastAsia="Times New Roman" w:hAnsi="Times New Roman" w:cs="Times New Roman"/>
          <w:color w:val="000000"/>
          <w:sz w:val="19"/>
          <w:szCs w:val="19"/>
        </w:rPr>
        <w:t>19</w:t>
      </w:r>
      <w:r w:rsidRPr="00ED1831">
        <w:rPr>
          <w:rFonts w:ascii="Times New Roman" w:eastAsia="Times New Roman" w:hAnsi="Times New Roman" w:cs="Times New Roman"/>
          <w:color w:val="000000"/>
        </w:rPr>
        <w:t>N</w:t>
      </w:r>
      <w:r w:rsidRPr="00ED1831">
        <w:rPr>
          <w:rFonts w:ascii="Times New Roman" w:eastAsia="Times New Roman" w:hAnsi="Times New Roman" w:cs="Times New Roman"/>
          <w:color w:val="000000"/>
          <w:sz w:val="19"/>
          <w:szCs w:val="19"/>
        </w:rPr>
        <w:t>3</w:t>
      </w:r>
      <w:r w:rsidRPr="00ED1831">
        <w:rPr>
          <w:rFonts w:ascii="Times New Roman" w:eastAsia="Times New Roman" w:hAnsi="Times New Roman" w:cs="Times New Roman"/>
          <w:color w:val="000000"/>
        </w:rPr>
        <w:t>O</w:t>
      </w:r>
      <w:r w:rsidRPr="00ED1831">
        <w:rPr>
          <w:rFonts w:ascii="Times New Roman" w:eastAsia="Times New Roman" w:hAnsi="Times New Roman" w:cs="Times New Roman"/>
          <w:color w:val="000000"/>
          <w:sz w:val="19"/>
          <w:szCs w:val="19"/>
        </w:rPr>
        <w:t>3 </w:t>
      </w:r>
      <w:r w:rsidRPr="00ED1831">
        <w:rPr>
          <w:rFonts w:ascii="Times New Roman" w:eastAsia="Times New Roman" w:hAnsi="Times New Roman" w:cs="Times New Roman"/>
          <w:color w:val="000000"/>
        </w:rPr>
        <w:t>and a molecular weight of 337.4.</w:t>
      </w:r>
    </w:p>
    <w:p w14:paraId="362FB5AA"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The chemical structure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is:</w:t>
      </w:r>
    </w:p>
    <w:bookmarkStart w:id="96" w:name="id1223"/>
    <w:bookmarkEnd w:id="96"/>
    <w:p w14:paraId="5F5917AB" w14:textId="432E9247" w:rsidR="00ED1831" w:rsidRPr="00ED1831" w:rsidRDefault="00ED1831" w:rsidP="00ED1831">
      <w:pPr>
        <w:rPr>
          <w:rFonts w:ascii="Times New Roman" w:eastAsia="Times New Roman" w:hAnsi="Times New Roman" w:cs="Times New Roman"/>
          <w:color w:val="000000"/>
        </w:rPr>
      </w:pPr>
      <w:r w:rsidRPr="00ED1831">
        <w:rPr>
          <w:rFonts w:ascii="Times New Roman" w:eastAsia="Times New Roman" w:hAnsi="Times New Roman" w:cs="Times New Roman"/>
          <w:color w:val="000000"/>
        </w:rPr>
        <w:lastRenderedPageBreak/>
        <w:fldChar w:fldCharType="begin"/>
      </w:r>
      <w:r w:rsidRPr="00ED1831">
        <w:rPr>
          <w:rFonts w:ascii="Times New Roman" w:eastAsia="Times New Roman" w:hAnsi="Times New Roman" w:cs="Times New Roman"/>
          <w:color w:val="000000"/>
        </w:rPr>
        <w:instrText xml:space="preserve"> INCLUDEPICTURE "https://labeling.pfizer.com/ImageHandler.ashx?id=18756" \* MERGEFORMATINET </w:instrText>
      </w:r>
      <w:r w:rsidRPr="00ED1831">
        <w:rPr>
          <w:rFonts w:ascii="Times New Roman" w:eastAsia="Times New Roman" w:hAnsi="Times New Roman" w:cs="Times New Roman"/>
          <w:color w:val="000000"/>
        </w:rPr>
        <w:fldChar w:fldCharType="separate"/>
      </w:r>
      <w:r w:rsidRPr="00ED1831">
        <w:rPr>
          <w:rFonts w:ascii="Times New Roman" w:eastAsia="Times New Roman" w:hAnsi="Times New Roman" w:cs="Times New Roman"/>
          <w:noProof/>
          <w:color w:val="000000"/>
        </w:rPr>
        <w:drawing>
          <wp:inline distT="0" distB="0" distL="0" distR="0" wp14:anchorId="4905FED2" wp14:editId="64CDB891">
            <wp:extent cx="3419475" cy="2962275"/>
            <wp:effectExtent l="0" t="0" r="0" b="0"/>
            <wp:docPr id="494187241" name="Picture 12" descr="Chemical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emical Structure"/>
                    <pic:cNvPicPr>
                      <a:picLocks noChangeAspect="1" noChangeArrowheads="1"/>
                    </pic:cNvPicPr>
                  </pic:nvPicPr>
                  <pic:blipFill>
                    <a:blip r:embed="rId105">
                      <a:extLst>
                        <a:ext uri="{28A0092B-C50C-407E-A947-70E740481C1C}">
                          <a14:useLocalDpi xmlns:a14="http://schemas.microsoft.com/office/drawing/2010/main" val="0"/>
                        </a:ext>
                      </a:extLst>
                    </a:blip>
                    <a:srcRect/>
                    <a:stretch>
                      <a:fillRect/>
                    </a:stretch>
                  </pic:blipFill>
                  <pic:spPr bwMode="auto">
                    <a:xfrm>
                      <a:off x="0" y="0"/>
                      <a:ext cx="3419475" cy="2962275"/>
                    </a:xfrm>
                    <a:prstGeom prst="rect">
                      <a:avLst/>
                    </a:prstGeom>
                    <a:noFill/>
                    <a:ln>
                      <a:noFill/>
                    </a:ln>
                  </pic:spPr>
                </pic:pic>
              </a:graphicData>
            </a:graphic>
          </wp:inline>
        </w:drawing>
      </w:r>
      <w:r w:rsidRPr="00ED1831">
        <w:rPr>
          <w:rFonts w:ascii="Times New Roman" w:eastAsia="Times New Roman" w:hAnsi="Times New Roman" w:cs="Times New Roman"/>
          <w:color w:val="000000"/>
        </w:rPr>
        <w:fldChar w:fldCharType="end"/>
      </w:r>
    </w:p>
    <w:p w14:paraId="77EDDDF3" w14:textId="77777777" w:rsidR="00ED1831" w:rsidRPr="00ED1831" w:rsidRDefault="00ED1831" w:rsidP="00ED1831">
      <w:pPr>
        <w:spacing w:before="144"/>
        <w:rPr>
          <w:rFonts w:ascii="Times New Roman" w:eastAsia="Times New Roman" w:hAnsi="Times New Roman" w:cs="Times New Roman"/>
          <w:color w:val="000000"/>
        </w:rPr>
      </w:pP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is a white-to-yellow-to-beige compound in crystalline Form II of its free base. It is non-hygroscopic and highly soluble in common organic solvents such as acetone and toluene and insoluble in water.</w:t>
      </w:r>
    </w:p>
    <w:p w14:paraId="7B68A384"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OXBRYTA film-coated tablets for oral use contain either 300 mg or 500 mg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Both strengths of OXBRYTA film-coated tablets contain the following inactive ingredients: colloidal silicon dioxide, croscarmellose sodium, magnesium stearate, microcrystalline cellulose, and sodium lauryl sulfate. In addition, the 500 mg tablet film coating contains: polyethylene glycol 3350, polyvinyl alcohol, talc, titanium dioxide, and yellow iron oxide. The 300 mg tablet film coating contains: black and red iron oxide, polyethylene glycol 3350, polyvinyl alcohol, talc, and titanium dioxide.</w:t>
      </w:r>
    </w:p>
    <w:p w14:paraId="785602E6"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Each OXBRYTA tablet for oral suspension contains 300 mg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with the following inactive ingredients: artificial grape flavor, colloidal silicon dioxide, croscarmellose sodium, iron oxide pigment, magnesium stearate, microcrystalline cellulose, and sucralose.</w:t>
      </w:r>
    </w:p>
    <w:p w14:paraId="16BA2CD1" w14:textId="77777777" w:rsidR="00ED1831" w:rsidRPr="00ED1831" w:rsidRDefault="00ED1831" w:rsidP="00ED1831">
      <w:pPr>
        <w:spacing w:before="480"/>
        <w:outlineLvl w:val="0"/>
        <w:rPr>
          <w:rFonts w:ascii="Times New Roman" w:eastAsia="Times New Roman" w:hAnsi="Times New Roman" w:cs="Times New Roman"/>
          <w:b/>
          <w:bCs/>
          <w:color w:val="000000"/>
          <w:kern w:val="36"/>
        </w:rPr>
      </w:pPr>
      <w:bookmarkStart w:id="97" w:name="S12"/>
      <w:bookmarkStart w:id="98" w:name="section-10"/>
      <w:bookmarkEnd w:id="97"/>
      <w:bookmarkEnd w:id="98"/>
      <w:r w:rsidRPr="00ED1831">
        <w:rPr>
          <w:rFonts w:ascii="Times New Roman" w:eastAsia="Times New Roman" w:hAnsi="Times New Roman" w:cs="Times New Roman"/>
          <w:b/>
          <w:bCs/>
          <w:color w:val="000000"/>
          <w:kern w:val="36"/>
        </w:rPr>
        <w:t>12 CLINICAL PHARMACOLOGY</w:t>
      </w:r>
    </w:p>
    <w:p w14:paraId="7F55F9C1"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99" w:name="S12.1"/>
      <w:bookmarkStart w:id="100" w:name="section-10.1"/>
      <w:bookmarkEnd w:id="99"/>
      <w:bookmarkEnd w:id="100"/>
      <w:r w:rsidRPr="00ED1831">
        <w:rPr>
          <w:rFonts w:ascii="Times New Roman" w:eastAsia="Times New Roman" w:hAnsi="Times New Roman" w:cs="Times New Roman"/>
          <w:b/>
          <w:bCs/>
          <w:color w:val="000000"/>
        </w:rPr>
        <w:t>12.1 Mechanism of Action</w:t>
      </w:r>
    </w:p>
    <w:p w14:paraId="205B6B49" w14:textId="77777777" w:rsidR="00ED1831" w:rsidRPr="00ED1831" w:rsidRDefault="00ED1831" w:rsidP="00ED1831">
      <w:pPr>
        <w:spacing w:before="144"/>
        <w:rPr>
          <w:rFonts w:ascii="Times New Roman" w:eastAsia="Times New Roman" w:hAnsi="Times New Roman" w:cs="Times New Roman"/>
          <w:color w:val="000000"/>
        </w:rPr>
      </w:pP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is a hemoglobin S (</w:t>
      </w:r>
      <w:proofErr w:type="spellStart"/>
      <w:r w:rsidRPr="00ED1831">
        <w:rPr>
          <w:rFonts w:ascii="Times New Roman" w:eastAsia="Times New Roman" w:hAnsi="Times New Roman" w:cs="Times New Roman"/>
          <w:color w:val="000000"/>
        </w:rPr>
        <w:t>HbS</w:t>
      </w:r>
      <w:proofErr w:type="spellEnd"/>
      <w:r w:rsidRPr="00ED1831">
        <w:rPr>
          <w:rFonts w:ascii="Times New Roman" w:eastAsia="Times New Roman" w:hAnsi="Times New Roman" w:cs="Times New Roman"/>
          <w:color w:val="000000"/>
        </w:rPr>
        <w:t xml:space="preserve">) polymerization inhibitor that binds to </w:t>
      </w:r>
      <w:proofErr w:type="spellStart"/>
      <w:r w:rsidRPr="00ED1831">
        <w:rPr>
          <w:rFonts w:ascii="Times New Roman" w:eastAsia="Times New Roman" w:hAnsi="Times New Roman" w:cs="Times New Roman"/>
          <w:color w:val="000000"/>
        </w:rPr>
        <w:t>HbS</w:t>
      </w:r>
      <w:proofErr w:type="spellEnd"/>
      <w:r w:rsidRPr="00ED1831">
        <w:rPr>
          <w:rFonts w:ascii="Times New Roman" w:eastAsia="Times New Roman" w:hAnsi="Times New Roman" w:cs="Times New Roman"/>
          <w:color w:val="000000"/>
        </w:rPr>
        <w:t xml:space="preserve"> with a 1:1 stoichiometry and exhibits preferential partitioning to red blood cells (RBCs). By increasing the affinity of Hb for oxygen,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demonstrates dose-dependent inhibition of </w:t>
      </w:r>
      <w:proofErr w:type="spellStart"/>
      <w:r w:rsidRPr="00ED1831">
        <w:rPr>
          <w:rFonts w:ascii="Times New Roman" w:eastAsia="Times New Roman" w:hAnsi="Times New Roman" w:cs="Times New Roman"/>
          <w:color w:val="000000"/>
        </w:rPr>
        <w:t>HbS</w:t>
      </w:r>
      <w:proofErr w:type="spellEnd"/>
      <w:r w:rsidRPr="00ED1831">
        <w:rPr>
          <w:rFonts w:ascii="Times New Roman" w:eastAsia="Times New Roman" w:hAnsi="Times New Roman" w:cs="Times New Roman"/>
          <w:color w:val="000000"/>
        </w:rPr>
        <w:t xml:space="preserve"> polymerization. Nonclinical studies suggest that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may inhibit RBC sickling, improve RBC deformability, and reduce whole blood viscosity.</w:t>
      </w:r>
    </w:p>
    <w:p w14:paraId="6E2F80E5"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101" w:name="S12.2"/>
      <w:bookmarkStart w:id="102" w:name="section-10.2"/>
      <w:bookmarkEnd w:id="101"/>
      <w:bookmarkEnd w:id="102"/>
      <w:r w:rsidRPr="00ED1831">
        <w:rPr>
          <w:rFonts w:ascii="Times New Roman" w:eastAsia="Times New Roman" w:hAnsi="Times New Roman" w:cs="Times New Roman"/>
          <w:b/>
          <w:bCs/>
          <w:color w:val="000000"/>
        </w:rPr>
        <w:t>12.2 Pharmacodynamics</w:t>
      </w:r>
    </w:p>
    <w:p w14:paraId="2F70C5EE"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lastRenderedPageBreak/>
        <w:t xml:space="preserve">The pharmacodynamic effect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treatment demonstrated a dose-dependent increase in Hb oxygen affinity as determined by the change in p50 (partial pressure of oxygen at which Hb oxygen saturation of 50% is achieved) that was linearly correlated with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exposure.</w:t>
      </w:r>
    </w:p>
    <w:p w14:paraId="14661527"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The pharmacodynamic effect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treatment also demonstrated a dose-dependent reduction in clinical measures of hemolysis (indirect bilirubin and % reticulocytes).</w:t>
      </w:r>
    </w:p>
    <w:p w14:paraId="2B463CE8" w14:textId="77777777" w:rsidR="00ED1831" w:rsidRPr="00ED1831" w:rsidRDefault="00ED1831" w:rsidP="00ED1831">
      <w:pPr>
        <w:spacing w:before="144"/>
        <w:rPr>
          <w:rFonts w:ascii="Times New Roman" w:eastAsia="Times New Roman" w:hAnsi="Times New Roman" w:cs="Times New Roman"/>
          <w:color w:val="000000"/>
        </w:rPr>
      </w:pPr>
      <w:bookmarkStart w:id="103" w:name="ID_2e2e45d6-73fa-4d01-8e5e-ff447d5650d8"/>
      <w:bookmarkStart w:id="104" w:name="section-10.2.1"/>
      <w:bookmarkEnd w:id="103"/>
      <w:bookmarkEnd w:id="104"/>
      <w:r w:rsidRPr="00ED1831">
        <w:rPr>
          <w:rFonts w:ascii="Times New Roman" w:eastAsia="Times New Roman" w:hAnsi="Times New Roman" w:cs="Times New Roman"/>
          <w:color w:val="000000"/>
        </w:rPr>
        <w:t>Cardiac Electrophysiology</w:t>
      </w:r>
    </w:p>
    <w:p w14:paraId="409B4B8D"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At plasma concentrations approximately 2-fold above therapeutic concentrations,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does not prolong QT interval to any clinically relevant extent.</w:t>
      </w:r>
    </w:p>
    <w:p w14:paraId="20AE2DB3"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105" w:name="S12.3"/>
      <w:bookmarkStart w:id="106" w:name="section-10.3"/>
      <w:bookmarkEnd w:id="105"/>
      <w:bookmarkEnd w:id="106"/>
      <w:r w:rsidRPr="00ED1831">
        <w:rPr>
          <w:rFonts w:ascii="Times New Roman" w:eastAsia="Times New Roman" w:hAnsi="Times New Roman" w:cs="Times New Roman"/>
          <w:b/>
          <w:bCs/>
          <w:color w:val="000000"/>
        </w:rPr>
        <w:t>12.3 Pharmacokinetics</w:t>
      </w:r>
    </w:p>
    <w:p w14:paraId="551BFED2" w14:textId="77777777" w:rsidR="00ED1831" w:rsidRPr="00ED1831" w:rsidRDefault="00ED1831" w:rsidP="00ED1831">
      <w:pPr>
        <w:spacing w:before="144"/>
        <w:rPr>
          <w:rFonts w:ascii="Times New Roman" w:eastAsia="Times New Roman" w:hAnsi="Times New Roman" w:cs="Times New Roman"/>
          <w:color w:val="000000"/>
        </w:rPr>
      </w:pP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is absorbed into plasma and is then distributed predominantly into RBCs due to its preferential binding to Hb. The major route of elimination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is by metabolism with subsequent excretion of metabolites into urine and feces. The PK are linear and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exposures increased proportionally with either single or multiple doses (Table 5) in whole blood, plasma, and RBCs. </w:t>
      </w:r>
      <w:proofErr w:type="gramStart"/>
      <w:r w:rsidRPr="00ED1831">
        <w:rPr>
          <w:rFonts w:ascii="Times New Roman" w:eastAsia="Times New Roman" w:hAnsi="Times New Roman" w:cs="Times New Roman"/>
          <w:color w:val="000000"/>
        </w:rPr>
        <w:t>Steady-state</w:t>
      </w:r>
      <w:proofErr w:type="gramEnd"/>
      <w:r w:rsidRPr="00ED1831">
        <w:rPr>
          <w:rFonts w:ascii="Times New Roman" w:eastAsia="Times New Roman" w:hAnsi="Times New Roman" w:cs="Times New Roman"/>
          <w:color w:val="000000"/>
        </w:rPr>
        <w:t xml:space="preserve"> after repeated administration is reached within 8 days and exposures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are consistent with accumulation predicted based on single dose data in patients with SCD.</w:t>
      </w:r>
    </w:p>
    <w:tbl>
      <w:tblPr>
        <w:tblW w:w="3750" w:type="pct"/>
        <w:tblCellMar>
          <w:top w:w="15" w:type="dxa"/>
          <w:left w:w="15" w:type="dxa"/>
          <w:bottom w:w="15" w:type="dxa"/>
          <w:right w:w="15" w:type="dxa"/>
        </w:tblCellMar>
        <w:tblLook w:val="04A0" w:firstRow="1" w:lastRow="0" w:firstColumn="1" w:lastColumn="0" w:noHBand="0" w:noVBand="1"/>
      </w:tblPr>
      <w:tblGrid>
        <w:gridCol w:w="3224"/>
        <w:gridCol w:w="3796"/>
      </w:tblGrid>
      <w:tr w:rsidR="00ED1831" w:rsidRPr="00ED1831" w14:paraId="11F12C76" w14:textId="77777777" w:rsidTr="00ED1831">
        <w:trPr>
          <w:tblHeader/>
        </w:trPr>
        <w:tc>
          <w:tcPr>
            <w:tcW w:w="0" w:type="auto"/>
            <w:gridSpan w:val="2"/>
            <w:tcBorders>
              <w:top w:val="nil"/>
              <w:left w:val="nil"/>
              <w:bottom w:val="nil"/>
              <w:right w:val="nil"/>
            </w:tcBorders>
            <w:vAlign w:val="center"/>
            <w:hideMark/>
          </w:tcPr>
          <w:p w14:paraId="2E0BB37A" w14:textId="77777777" w:rsidR="00ED1831" w:rsidRPr="00ED1831" w:rsidRDefault="00ED1831" w:rsidP="00ED1831">
            <w:pPr>
              <w:spacing w:before="150" w:after="360"/>
              <w:jc w:val="center"/>
              <w:rPr>
                <w:rFonts w:ascii="Times New Roman" w:eastAsia="Times New Roman" w:hAnsi="Times New Roman" w:cs="Times New Roman"/>
                <w:b/>
                <w:bCs/>
              </w:rPr>
            </w:pPr>
            <w:bookmarkStart w:id="107" w:name="_Reftable5"/>
            <w:bookmarkEnd w:id="107"/>
            <w:r w:rsidRPr="00ED1831">
              <w:rPr>
                <w:rFonts w:ascii="Times New Roman" w:eastAsia="Times New Roman" w:hAnsi="Times New Roman" w:cs="Times New Roman"/>
                <w:b/>
                <w:bCs/>
              </w:rPr>
              <w:t xml:space="preserve">Table 5: Pharmacokinetics Parameters of </w:t>
            </w:r>
            <w:proofErr w:type="spellStart"/>
            <w:r w:rsidRPr="00ED1831">
              <w:rPr>
                <w:rFonts w:ascii="Times New Roman" w:eastAsia="Times New Roman" w:hAnsi="Times New Roman" w:cs="Times New Roman"/>
                <w:b/>
                <w:bCs/>
              </w:rPr>
              <w:t>Voxelotor</w:t>
            </w:r>
            <w:proofErr w:type="spellEnd"/>
            <w:r w:rsidRPr="00ED1831">
              <w:rPr>
                <w:rFonts w:ascii="Times New Roman" w:eastAsia="Times New Roman" w:hAnsi="Times New Roman" w:cs="Times New Roman"/>
                <w:b/>
                <w:bCs/>
              </w:rPr>
              <w:t xml:space="preserve"> in Plasma and Whole Blood</w:t>
            </w:r>
            <w:bookmarkStart w:id="108" w:name="footnote-reference-4"/>
            <w:r w:rsidRPr="00ED1831">
              <w:rPr>
                <w:rFonts w:ascii="Times New Roman" w:eastAsia="Times New Roman" w:hAnsi="Times New Roman" w:cs="Times New Roman"/>
                <w:b/>
                <w:bCs/>
              </w:rPr>
              <w:fldChar w:fldCharType="begin"/>
            </w:r>
            <w:r w:rsidRPr="00ED1831">
              <w:rPr>
                <w:rFonts w:ascii="Times New Roman" w:eastAsia="Times New Roman" w:hAnsi="Times New Roman" w:cs="Times New Roman"/>
                <w:b/>
                <w:bCs/>
              </w:rPr>
              <w:instrText>HYPERLINK "https://labeling.pfizer.com/ShowLabeling.aspx?id=19593" \l "footnote-4"</w:instrText>
            </w:r>
            <w:r w:rsidRPr="00ED1831">
              <w:rPr>
                <w:rFonts w:ascii="Times New Roman" w:eastAsia="Times New Roman" w:hAnsi="Times New Roman" w:cs="Times New Roman"/>
                <w:b/>
                <w:bCs/>
              </w:rPr>
            </w:r>
            <w:r w:rsidRPr="00ED1831">
              <w:rPr>
                <w:rFonts w:ascii="Times New Roman" w:eastAsia="Times New Roman" w:hAnsi="Times New Roman" w:cs="Times New Roman"/>
                <w:b/>
                <w:bCs/>
              </w:rPr>
              <w:fldChar w:fldCharType="separate"/>
            </w:r>
            <w:r w:rsidRPr="00ED1831">
              <w:rPr>
                <w:rFonts w:ascii="Times New Roman" w:eastAsia="Times New Roman" w:hAnsi="Times New Roman" w:cs="Times New Roman"/>
                <w:b/>
                <w:bCs/>
                <w:color w:val="0000FF"/>
                <w:sz w:val="19"/>
                <w:szCs w:val="19"/>
                <w:u w:val="single"/>
              </w:rPr>
              <w:t>*</w:t>
            </w:r>
            <w:r w:rsidRPr="00ED1831">
              <w:rPr>
                <w:rFonts w:ascii="Times New Roman" w:eastAsia="Times New Roman" w:hAnsi="Times New Roman" w:cs="Times New Roman"/>
                <w:b/>
                <w:bCs/>
              </w:rPr>
              <w:fldChar w:fldCharType="end"/>
            </w:r>
            <w:bookmarkEnd w:id="108"/>
          </w:p>
        </w:tc>
      </w:tr>
      <w:tr w:rsidR="00ED1831" w:rsidRPr="00ED1831" w14:paraId="01F3DA67" w14:textId="77777777" w:rsidTr="00ED1831">
        <w:trPr>
          <w:tblHeader/>
        </w:trPr>
        <w:tc>
          <w:tcPr>
            <w:tcW w:w="0" w:type="auto"/>
            <w:tcBorders>
              <w:top w:val="single" w:sz="24" w:space="0" w:color="000000"/>
              <w:left w:val="single" w:sz="6" w:space="0" w:color="000000"/>
              <w:bottom w:val="single" w:sz="6" w:space="0" w:color="000000"/>
              <w:right w:val="single" w:sz="6" w:space="0" w:color="000000"/>
            </w:tcBorders>
            <w:vAlign w:val="bottom"/>
            <w:hideMark/>
          </w:tcPr>
          <w:p w14:paraId="6C4355E0" w14:textId="77777777" w:rsidR="00ED1831" w:rsidRPr="00ED1831" w:rsidRDefault="00ED1831" w:rsidP="00ED1831">
            <w:pPr>
              <w:spacing w:after="360"/>
              <w:rPr>
                <w:rFonts w:ascii="Times New Roman" w:eastAsia="Times New Roman" w:hAnsi="Times New Roman" w:cs="Times New Roman"/>
                <w:b/>
                <w:bCs/>
              </w:rPr>
            </w:pPr>
            <w:r w:rsidRPr="00ED1831">
              <w:rPr>
                <w:rFonts w:ascii="Times New Roman" w:eastAsia="Times New Roman" w:hAnsi="Times New Roman" w:cs="Times New Roman"/>
                <w:b/>
                <w:bCs/>
              </w:rPr>
              <w:t>PK Parameter</w:t>
            </w:r>
          </w:p>
        </w:tc>
        <w:tc>
          <w:tcPr>
            <w:tcW w:w="0" w:type="auto"/>
            <w:tcBorders>
              <w:top w:val="single" w:sz="24" w:space="0" w:color="000000"/>
              <w:left w:val="nil"/>
              <w:bottom w:val="single" w:sz="6" w:space="0" w:color="000000"/>
              <w:right w:val="single" w:sz="6" w:space="0" w:color="000000"/>
            </w:tcBorders>
            <w:vAlign w:val="bottom"/>
            <w:hideMark/>
          </w:tcPr>
          <w:p w14:paraId="6E425640" w14:textId="77777777" w:rsidR="00ED1831" w:rsidRPr="00ED1831" w:rsidRDefault="00ED1831" w:rsidP="00ED1831">
            <w:pPr>
              <w:spacing w:after="360"/>
              <w:jc w:val="center"/>
              <w:rPr>
                <w:rFonts w:ascii="Times New Roman" w:eastAsia="Times New Roman" w:hAnsi="Times New Roman" w:cs="Times New Roman"/>
                <w:b/>
                <w:bCs/>
              </w:rPr>
            </w:pPr>
            <w:proofErr w:type="spellStart"/>
            <w:r w:rsidRPr="00ED1831">
              <w:rPr>
                <w:rFonts w:ascii="Times New Roman" w:eastAsia="Times New Roman" w:hAnsi="Times New Roman" w:cs="Times New Roman"/>
                <w:b/>
                <w:bCs/>
              </w:rPr>
              <w:t>Voxelotor</w:t>
            </w:r>
            <w:proofErr w:type="spellEnd"/>
            <w:r w:rsidRPr="00ED1831">
              <w:rPr>
                <w:rFonts w:ascii="Times New Roman" w:eastAsia="Times New Roman" w:hAnsi="Times New Roman" w:cs="Times New Roman"/>
                <w:b/>
                <w:bCs/>
              </w:rPr>
              <w:t xml:space="preserve"> 1,500 mg</w:t>
            </w:r>
            <w:r w:rsidRPr="00ED1831">
              <w:rPr>
                <w:rFonts w:ascii="Times New Roman" w:eastAsia="Times New Roman" w:hAnsi="Times New Roman" w:cs="Times New Roman"/>
                <w:b/>
                <w:bCs/>
              </w:rPr>
              <w:br/>
              <w:t>Geometric Mean (%CV)</w:t>
            </w:r>
          </w:p>
        </w:tc>
      </w:tr>
      <w:bookmarkStart w:id="109" w:name="footnote-4"/>
      <w:tr w:rsidR="00ED1831" w:rsidRPr="00ED1831" w14:paraId="05423524" w14:textId="77777777" w:rsidTr="00ED1831">
        <w:tc>
          <w:tcPr>
            <w:tcW w:w="0" w:type="auto"/>
            <w:gridSpan w:val="2"/>
            <w:tcBorders>
              <w:top w:val="nil"/>
              <w:left w:val="nil"/>
              <w:bottom w:val="nil"/>
              <w:right w:val="nil"/>
            </w:tcBorders>
            <w:vAlign w:val="center"/>
            <w:hideMark/>
          </w:tcPr>
          <w:p w14:paraId="030E4C5B" w14:textId="77777777" w:rsidR="00ED1831" w:rsidRPr="00ED1831" w:rsidRDefault="00ED1831" w:rsidP="00ED1831">
            <w:pPr>
              <w:rPr>
                <w:rFonts w:ascii="Times New Roman" w:eastAsia="Times New Roman" w:hAnsi="Times New Roman" w:cs="Times New Roman"/>
                <w:sz w:val="22"/>
                <w:szCs w:val="22"/>
              </w:rPr>
            </w:pPr>
            <w:r w:rsidRPr="00ED1831">
              <w:rPr>
                <w:rFonts w:ascii="Times New Roman" w:eastAsia="Times New Roman" w:hAnsi="Times New Roman" w:cs="Times New Roman"/>
                <w:sz w:val="22"/>
                <w:szCs w:val="22"/>
              </w:rPr>
              <w:fldChar w:fldCharType="begin"/>
            </w:r>
            <w:r w:rsidRPr="00ED1831">
              <w:rPr>
                <w:rFonts w:ascii="Times New Roman" w:eastAsia="Times New Roman" w:hAnsi="Times New Roman" w:cs="Times New Roman"/>
                <w:sz w:val="22"/>
                <w:szCs w:val="22"/>
              </w:rPr>
              <w:instrText>HYPERLINK "https://labeling.pfizer.com/ShowLabeling.aspx?id=19593" \l "footnote-reference-4"</w:instrText>
            </w:r>
            <w:r w:rsidRPr="00ED1831">
              <w:rPr>
                <w:rFonts w:ascii="Times New Roman" w:eastAsia="Times New Roman" w:hAnsi="Times New Roman" w:cs="Times New Roman"/>
                <w:sz w:val="22"/>
                <w:szCs w:val="22"/>
              </w:rPr>
            </w:r>
            <w:r w:rsidRPr="00ED1831">
              <w:rPr>
                <w:rFonts w:ascii="Times New Roman" w:eastAsia="Times New Roman" w:hAnsi="Times New Roman" w:cs="Times New Roman"/>
                <w:sz w:val="22"/>
                <w:szCs w:val="22"/>
              </w:rPr>
              <w:fldChar w:fldCharType="separate"/>
            </w:r>
            <w:r w:rsidRPr="00ED1831">
              <w:rPr>
                <w:rFonts w:ascii="Times New Roman" w:eastAsia="Times New Roman" w:hAnsi="Times New Roman" w:cs="Times New Roman"/>
                <w:color w:val="0000FF"/>
                <w:sz w:val="22"/>
                <w:szCs w:val="22"/>
                <w:u w:val="single"/>
              </w:rPr>
              <w:t>*</w:t>
            </w:r>
            <w:r w:rsidRPr="00ED1831">
              <w:rPr>
                <w:rFonts w:ascii="Times New Roman" w:eastAsia="Times New Roman" w:hAnsi="Times New Roman" w:cs="Times New Roman"/>
                <w:sz w:val="22"/>
                <w:szCs w:val="22"/>
              </w:rPr>
              <w:fldChar w:fldCharType="end"/>
            </w:r>
            <w:bookmarkEnd w:id="109"/>
          </w:p>
          <w:p w14:paraId="5693F59C" w14:textId="77777777" w:rsidR="00ED1831" w:rsidRPr="00ED1831" w:rsidRDefault="00ED1831" w:rsidP="00ED1831">
            <w:pPr>
              <w:ind w:left="720"/>
              <w:rPr>
                <w:rFonts w:ascii="Times New Roman" w:eastAsia="Times New Roman" w:hAnsi="Times New Roman" w:cs="Times New Roman"/>
                <w:sz w:val="22"/>
                <w:szCs w:val="22"/>
              </w:rPr>
            </w:pPr>
            <w:r w:rsidRPr="00ED1831">
              <w:rPr>
                <w:rFonts w:ascii="Times New Roman" w:eastAsia="Times New Roman" w:hAnsi="Times New Roman" w:cs="Times New Roman"/>
                <w:sz w:val="22"/>
                <w:szCs w:val="22"/>
              </w:rPr>
              <w:t>Based on the 72-week population pharmacokinetic analysis.</w:t>
            </w:r>
          </w:p>
        </w:tc>
      </w:tr>
      <w:tr w:rsidR="00ED1831" w:rsidRPr="00ED1831" w14:paraId="2E3BE46E" w14:textId="77777777" w:rsidTr="00ED1831">
        <w:tc>
          <w:tcPr>
            <w:tcW w:w="0" w:type="auto"/>
            <w:gridSpan w:val="2"/>
            <w:tcBorders>
              <w:top w:val="single" w:sz="6" w:space="0" w:color="000000"/>
              <w:left w:val="single" w:sz="6" w:space="0" w:color="000000"/>
              <w:bottom w:val="single" w:sz="6" w:space="0" w:color="000000"/>
              <w:right w:val="single" w:sz="6" w:space="0" w:color="000000"/>
            </w:tcBorders>
            <w:vAlign w:val="bottom"/>
            <w:hideMark/>
          </w:tcPr>
          <w:p w14:paraId="57FD5F3F"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b/>
                <w:bCs/>
              </w:rPr>
              <w:t>Plasma PK</w:t>
            </w:r>
          </w:p>
        </w:tc>
      </w:tr>
      <w:tr w:rsidR="00ED1831" w:rsidRPr="00ED1831" w14:paraId="25B27DAC" w14:textId="77777777" w:rsidTr="00ED1831">
        <w:tc>
          <w:tcPr>
            <w:tcW w:w="0" w:type="auto"/>
            <w:tcBorders>
              <w:top w:val="nil"/>
              <w:left w:val="single" w:sz="6" w:space="0" w:color="000000"/>
              <w:bottom w:val="single" w:sz="6" w:space="0" w:color="000000"/>
              <w:right w:val="single" w:sz="6" w:space="0" w:color="000000"/>
            </w:tcBorders>
            <w:vAlign w:val="bottom"/>
            <w:hideMark/>
          </w:tcPr>
          <w:p w14:paraId="4AB7230E"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AUC</w:t>
            </w:r>
            <w:r w:rsidRPr="00ED1831">
              <w:rPr>
                <w:rFonts w:ascii="Times New Roman" w:eastAsia="Times New Roman" w:hAnsi="Times New Roman" w:cs="Times New Roman"/>
                <w:sz w:val="19"/>
                <w:szCs w:val="19"/>
              </w:rPr>
              <w:t>0-24h </w:t>
            </w:r>
            <w:r w:rsidRPr="00ED1831">
              <w:rPr>
                <w:rFonts w:ascii="Times New Roman" w:eastAsia="Times New Roman" w:hAnsi="Times New Roman" w:cs="Times New Roman"/>
              </w:rPr>
              <w:t>(</w:t>
            </w:r>
            <w:proofErr w:type="spellStart"/>
            <w:r w:rsidRPr="00ED1831">
              <w:rPr>
                <w:rFonts w:ascii="Times New Roman" w:eastAsia="Times New Roman" w:hAnsi="Times New Roman" w:cs="Times New Roman"/>
              </w:rPr>
              <w:t>μg∙hr</w:t>
            </w:r>
            <w:proofErr w:type="spellEnd"/>
            <w:r w:rsidRPr="00ED1831">
              <w:rPr>
                <w:rFonts w:ascii="Times New Roman" w:eastAsia="Times New Roman" w:hAnsi="Times New Roman" w:cs="Times New Roman"/>
              </w:rPr>
              <w:t>/mL)</w:t>
            </w:r>
          </w:p>
        </w:tc>
        <w:tc>
          <w:tcPr>
            <w:tcW w:w="0" w:type="auto"/>
            <w:tcBorders>
              <w:top w:val="nil"/>
              <w:left w:val="nil"/>
              <w:bottom w:val="single" w:sz="6" w:space="0" w:color="000000"/>
              <w:right w:val="single" w:sz="6" w:space="0" w:color="000000"/>
            </w:tcBorders>
            <w:vAlign w:val="bottom"/>
            <w:hideMark/>
          </w:tcPr>
          <w:p w14:paraId="6EC8BAC8"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278 (28.4)</w:t>
            </w:r>
          </w:p>
        </w:tc>
      </w:tr>
      <w:tr w:rsidR="00ED1831" w:rsidRPr="00ED1831" w14:paraId="7C491819" w14:textId="77777777" w:rsidTr="00ED1831">
        <w:tc>
          <w:tcPr>
            <w:tcW w:w="0" w:type="auto"/>
            <w:tcBorders>
              <w:top w:val="nil"/>
              <w:left w:val="single" w:sz="6" w:space="0" w:color="000000"/>
              <w:bottom w:val="single" w:sz="6" w:space="0" w:color="000000"/>
              <w:right w:val="single" w:sz="6" w:space="0" w:color="000000"/>
            </w:tcBorders>
            <w:vAlign w:val="bottom"/>
            <w:hideMark/>
          </w:tcPr>
          <w:p w14:paraId="4B8C026E" w14:textId="77777777" w:rsidR="00ED1831" w:rsidRPr="00ED1831" w:rsidRDefault="00ED1831" w:rsidP="00ED1831">
            <w:pPr>
              <w:rPr>
                <w:rFonts w:ascii="Times New Roman" w:eastAsia="Times New Roman" w:hAnsi="Times New Roman" w:cs="Times New Roman"/>
              </w:rPr>
            </w:pPr>
            <w:proofErr w:type="spellStart"/>
            <w:r w:rsidRPr="00ED1831">
              <w:rPr>
                <w:rFonts w:ascii="Times New Roman" w:eastAsia="Times New Roman" w:hAnsi="Times New Roman" w:cs="Times New Roman"/>
              </w:rPr>
              <w:t>C</w:t>
            </w:r>
            <w:r w:rsidRPr="00ED1831">
              <w:rPr>
                <w:rFonts w:ascii="Times New Roman" w:eastAsia="Times New Roman" w:hAnsi="Times New Roman" w:cs="Times New Roman"/>
                <w:sz w:val="19"/>
                <w:szCs w:val="19"/>
              </w:rPr>
              <w:t>max</w:t>
            </w:r>
            <w:proofErr w:type="spellEnd"/>
            <w:r w:rsidRPr="00ED1831">
              <w:rPr>
                <w:rFonts w:ascii="Times New Roman" w:eastAsia="Times New Roman" w:hAnsi="Times New Roman" w:cs="Times New Roman"/>
              </w:rPr>
              <w:t> (µg/mL)</w:t>
            </w:r>
          </w:p>
        </w:tc>
        <w:tc>
          <w:tcPr>
            <w:tcW w:w="0" w:type="auto"/>
            <w:tcBorders>
              <w:top w:val="nil"/>
              <w:left w:val="nil"/>
              <w:bottom w:val="single" w:sz="6" w:space="0" w:color="000000"/>
              <w:right w:val="single" w:sz="6" w:space="0" w:color="000000"/>
            </w:tcBorders>
            <w:vAlign w:val="bottom"/>
            <w:hideMark/>
          </w:tcPr>
          <w:p w14:paraId="554612B9"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14 (24.5)</w:t>
            </w:r>
          </w:p>
        </w:tc>
      </w:tr>
      <w:tr w:rsidR="00ED1831" w:rsidRPr="00ED1831" w14:paraId="09837F75" w14:textId="77777777" w:rsidTr="00ED1831">
        <w:tc>
          <w:tcPr>
            <w:tcW w:w="0" w:type="auto"/>
            <w:tcBorders>
              <w:top w:val="nil"/>
              <w:left w:val="single" w:sz="6" w:space="0" w:color="000000"/>
              <w:bottom w:val="single" w:sz="6" w:space="0" w:color="000000"/>
              <w:right w:val="single" w:sz="6" w:space="0" w:color="000000"/>
            </w:tcBorders>
            <w:vAlign w:val="bottom"/>
            <w:hideMark/>
          </w:tcPr>
          <w:p w14:paraId="1B2E6F92"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Half-life (hours)</w:t>
            </w:r>
          </w:p>
        </w:tc>
        <w:tc>
          <w:tcPr>
            <w:tcW w:w="0" w:type="auto"/>
            <w:tcBorders>
              <w:top w:val="nil"/>
              <w:left w:val="nil"/>
              <w:bottom w:val="single" w:sz="6" w:space="0" w:color="000000"/>
              <w:right w:val="single" w:sz="6" w:space="0" w:color="000000"/>
            </w:tcBorders>
            <w:vAlign w:val="bottom"/>
            <w:hideMark/>
          </w:tcPr>
          <w:p w14:paraId="5F7AEA83"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38.7 (30.2)</w:t>
            </w:r>
          </w:p>
        </w:tc>
      </w:tr>
      <w:tr w:rsidR="00ED1831" w:rsidRPr="00ED1831" w14:paraId="3E2B694A" w14:textId="77777777" w:rsidTr="00ED1831">
        <w:tc>
          <w:tcPr>
            <w:tcW w:w="0" w:type="auto"/>
            <w:gridSpan w:val="2"/>
            <w:tcBorders>
              <w:top w:val="nil"/>
              <w:left w:val="single" w:sz="6" w:space="0" w:color="000000"/>
              <w:bottom w:val="single" w:sz="6" w:space="0" w:color="000000"/>
              <w:right w:val="single" w:sz="6" w:space="0" w:color="000000"/>
            </w:tcBorders>
            <w:vAlign w:val="bottom"/>
            <w:hideMark/>
          </w:tcPr>
          <w:p w14:paraId="14BD5325"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b/>
                <w:bCs/>
              </w:rPr>
              <w:t>Whole Blood PK</w:t>
            </w:r>
          </w:p>
        </w:tc>
      </w:tr>
      <w:tr w:rsidR="00ED1831" w:rsidRPr="00ED1831" w14:paraId="0DC0EA51" w14:textId="77777777" w:rsidTr="00ED1831">
        <w:tc>
          <w:tcPr>
            <w:tcW w:w="0" w:type="auto"/>
            <w:tcBorders>
              <w:top w:val="nil"/>
              <w:left w:val="single" w:sz="6" w:space="0" w:color="000000"/>
              <w:bottom w:val="single" w:sz="6" w:space="0" w:color="000000"/>
              <w:right w:val="single" w:sz="6" w:space="0" w:color="000000"/>
            </w:tcBorders>
            <w:vAlign w:val="bottom"/>
            <w:hideMark/>
          </w:tcPr>
          <w:p w14:paraId="2273143A"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AUC</w:t>
            </w:r>
            <w:r w:rsidRPr="00ED1831">
              <w:rPr>
                <w:rFonts w:ascii="Times New Roman" w:eastAsia="Times New Roman" w:hAnsi="Times New Roman" w:cs="Times New Roman"/>
                <w:sz w:val="19"/>
                <w:szCs w:val="19"/>
              </w:rPr>
              <w:t>0-24h </w:t>
            </w:r>
            <w:r w:rsidRPr="00ED1831">
              <w:rPr>
                <w:rFonts w:ascii="Times New Roman" w:eastAsia="Times New Roman" w:hAnsi="Times New Roman" w:cs="Times New Roman"/>
              </w:rPr>
              <w:t>(</w:t>
            </w:r>
            <w:proofErr w:type="spellStart"/>
            <w:r w:rsidRPr="00ED1831">
              <w:rPr>
                <w:rFonts w:ascii="Times New Roman" w:eastAsia="Times New Roman" w:hAnsi="Times New Roman" w:cs="Times New Roman"/>
              </w:rPr>
              <w:t>μg∙hr</w:t>
            </w:r>
            <w:proofErr w:type="spellEnd"/>
            <w:r w:rsidRPr="00ED1831">
              <w:rPr>
                <w:rFonts w:ascii="Times New Roman" w:eastAsia="Times New Roman" w:hAnsi="Times New Roman" w:cs="Times New Roman"/>
              </w:rPr>
              <w:t>/mL)</w:t>
            </w:r>
          </w:p>
        </w:tc>
        <w:tc>
          <w:tcPr>
            <w:tcW w:w="0" w:type="auto"/>
            <w:tcBorders>
              <w:top w:val="nil"/>
              <w:left w:val="nil"/>
              <w:bottom w:val="single" w:sz="6" w:space="0" w:color="000000"/>
              <w:right w:val="single" w:sz="6" w:space="0" w:color="000000"/>
            </w:tcBorders>
            <w:vAlign w:val="bottom"/>
            <w:hideMark/>
          </w:tcPr>
          <w:p w14:paraId="33DBAE77"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3,830 (33.5)</w:t>
            </w:r>
          </w:p>
        </w:tc>
      </w:tr>
      <w:tr w:rsidR="00ED1831" w:rsidRPr="00ED1831" w14:paraId="5A9BB325" w14:textId="77777777" w:rsidTr="00ED1831">
        <w:tc>
          <w:tcPr>
            <w:tcW w:w="0" w:type="auto"/>
            <w:tcBorders>
              <w:top w:val="nil"/>
              <w:left w:val="single" w:sz="6" w:space="0" w:color="000000"/>
              <w:bottom w:val="single" w:sz="24" w:space="0" w:color="000000"/>
              <w:right w:val="single" w:sz="6" w:space="0" w:color="000000"/>
            </w:tcBorders>
            <w:vAlign w:val="bottom"/>
            <w:hideMark/>
          </w:tcPr>
          <w:p w14:paraId="3CE9EC29" w14:textId="77777777" w:rsidR="00ED1831" w:rsidRPr="00ED1831" w:rsidRDefault="00ED1831" w:rsidP="00ED1831">
            <w:pPr>
              <w:rPr>
                <w:rFonts w:ascii="Times New Roman" w:eastAsia="Times New Roman" w:hAnsi="Times New Roman" w:cs="Times New Roman"/>
              </w:rPr>
            </w:pPr>
            <w:proofErr w:type="spellStart"/>
            <w:r w:rsidRPr="00ED1831">
              <w:rPr>
                <w:rFonts w:ascii="Times New Roman" w:eastAsia="Times New Roman" w:hAnsi="Times New Roman" w:cs="Times New Roman"/>
              </w:rPr>
              <w:t>C</w:t>
            </w:r>
            <w:r w:rsidRPr="00ED1831">
              <w:rPr>
                <w:rFonts w:ascii="Times New Roman" w:eastAsia="Times New Roman" w:hAnsi="Times New Roman" w:cs="Times New Roman"/>
                <w:sz w:val="19"/>
                <w:szCs w:val="19"/>
              </w:rPr>
              <w:t>max</w:t>
            </w:r>
            <w:proofErr w:type="spellEnd"/>
            <w:r w:rsidRPr="00ED1831">
              <w:rPr>
                <w:rFonts w:ascii="Times New Roman" w:eastAsia="Times New Roman" w:hAnsi="Times New Roman" w:cs="Times New Roman"/>
              </w:rPr>
              <w:t> (µg/mL)</w:t>
            </w:r>
          </w:p>
        </w:tc>
        <w:tc>
          <w:tcPr>
            <w:tcW w:w="0" w:type="auto"/>
            <w:tcBorders>
              <w:top w:val="nil"/>
              <w:left w:val="nil"/>
              <w:bottom w:val="single" w:sz="24" w:space="0" w:color="000000"/>
              <w:right w:val="single" w:sz="6" w:space="0" w:color="000000"/>
            </w:tcBorders>
            <w:vAlign w:val="bottom"/>
            <w:hideMark/>
          </w:tcPr>
          <w:p w14:paraId="7515A65A"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180 (31)</w:t>
            </w:r>
          </w:p>
        </w:tc>
      </w:tr>
    </w:tbl>
    <w:p w14:paraId="2234743A"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In healthy subjects,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exposures were comparable when administered as tablet for oral suspension dispersed in water or as oral tablet swallowed whole.</w:t>
      </w:r>
    </w:p>
    <w:p w14:paraId="515B8A1E" w14:textId="77777777" w:rsidR="00ED1831" w:rsidRPr="00ED1831" w:rsidRDefault="00ED1831" w:rsidP="00ED1831">
      <w:pPr>
        <w:spacing w:before="144"/>
        <w:rPr>
          <w:rFonts w:ascii="Times New Roman" w:eastAsia="Times New Roman" w:hAnsi="Times New Roman" w:cs="Times New Roman"/>
          <w:color w:val="000000"/>
        </w:rPr>
      </w:pPr>
      <w:bookmarkStart w:id="110" w:name="ID_9c65d9f4-1dab-445b-a621-bc5c45c988c2"/>
      <w:bookmarkStart w:id="111" w:name="section-10.3.1"/>
      <w:bookmarkEnd w:id="110"/>
      <w:bookmarkEnd w:id="111"/>
      <w:r w:rsidRPr="00ED1831">
        <w:rPr>
          <w:rFonts w:ascii="Times New Roman" w:eastAsia="Times New Roman" w:hAnsi="Times New Roman" w:cs="Times New Roman"/>
          <w:color w:val="000000"/>
        </w:rPr>
        <w:t>Absorption</w:t>
      </w:r>
    </w:p>
    <w:p w14:paraId="3FCE91D1"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The median plasma and whole blood </w:t>
      </w:r>
      <w:proofErr w:type="spellStart"/>
      <w:r w:rsidRPr="00ED1831">
        <w:rPr>
          <w:rFonts w:ascii="Times New Roman" w:eastAsia="Times New Roman" w:hAnsi="Times New Roman" w:cs="Times New Roman"/>
          <w:color w:val="000000"/>
        </w:rPr>
        <w:t>T</w:t>
      </w:r>
      <w:r w:rsidRPr="00ED1831">
        <w:rPr>
          <w:rFonts w:ascii="Times New Roman" w:eastAsia="Times New Roman" w:hAnsi="Times New Roman" w:cs="Times New Roman"/>
          <w:color w:val="000000"/>
          <w:sz w:val="19"/>
          <w:szCs w:val="19"/>
        </w:rPr>
        <w:t>max</w:t>
      </w:r>
      <w:proofErr w:type="spellEnd"/>
      <w:r w:rsidRPr="00ED1831">
        <w:rPr>
          <w:rFonts w:ascii="Times New Roman" w:eastAsia="Times New Roman" w:hAnsi="Times New Roman" w:cs="Times New Roman"/>
          <w:color w:val="000000"/>
          <w:sz w:val="19"/>
          <w:szCs w:val="19"/>
        </w:rPr>
        <w:t> </w:t>
      </w:r>
      <w:r w:rsidRPr="00ED1831">
        <w:rPr>
          <w:rFonts w:ascii="Times New Roman" w:eastAsia="Times New Roman" w:hAnsi="Times New Roman" w:cs="Times New Roman"/>
          <w:color w:val="000000"/>
        </w:rPr>
        <w:t xml:space="preserve">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after oral administration is 2 hours. The mean peak concentrations in whole blood and RBCs are observed between 6 and 18 hours after oral administration.</w:t>
      </w:r>
    </w:p>
    <w:p w14:paraId="72BCCE7F" w14:textId="77777777" w:rsidR="00ED1831" w:rsidRPr="00ED1831" w:rsidRDefault="00ED1831" w:rsidP="00ED1831">
      <w:pPr>
        <w:spacing w:before="144"/>
        <w:rPr>
          <w:rFonts w:ascii="Times New Roman" w:eastAsia="Times New Roman" w:hAnsi="Times New Roman" w:cs="Times New Roman"/>
          <w:color w:val="000000"/>
        </w:rPr>
      </w:pPr>
      <w:bookmarkStart w:id="112" w:name="ID_33b571a3-8fe2-4835-b55e-84a5dace7047"/>
      <w:bookmarkStart w:id="113" w:name="section-10.3.2"/>
      <w:bookmarkEnd w:id="112"/>
      <w:bookmarkEnd w:id="113"/>
      <w:r w:rsidRPr="00ED1831">
        <w:rPr>
          <w:rFonts w:ascii="Times New Roman" w:eastAsia="Times New Roman" w:hAnsi="Times New Roman" w:cs="Times New Roman"/>
          <w:color w:val="000000"/>
        </w:rPr>
        <w:t>Effect of Food</w:t>
      </w:r>
    </w:p>
    <w:p w14:paraId="504ADA98"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lastRenderedPageBreak/>
        <w:t xml:space="preserve">A high-fat, high-calorie meal increased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AUC by 42% and </w:t>
      </w:r>
      <w:proofErr w:type="spellStart"/>
      <w:r w:rsidRPr="00ED1831">
        <w:rPr>
          <w:rFonts w:ascii="Times New Roman" w:eastAsia="Times New Roman" w:hAnsi="Times New Roman" w:cs="Times New Roman"/>
          <w:color w:val="000000"/>
        </w:rPr>
        <w:t>C</w:t>
      </w:r>
      <w:r w:rsidRPr="00ED1831">
        <w:rPr>
          <w:rFonts w:ascii="Times New Roman" w:eastAsia="Times New Roman" w:hAnsi="Times New Roman" w:cs="Times New Roman"/>
          <w:color w:val="000000"/>
          <w:sz w:val="19"/>
          <w:szCs w:val="19"/>
        </w:rPr>
        <w:t>max</w:t>
      </w:r>
      <w:proofErr w:type="spellEnd"/>
      <w:r w:rsidRPr="00ED1831">
        <w:rPr>
          <w:rFonts w:ascii="Times New Roman" w:eastAsia="Times New Roman" w:hAnsi="Times New Roman" w:cs="Times New Roman"/>
          <w:color w:val="000000"/>
          <w:sz w:val="19"/>
          <w:szCs w:val="19"/>
        </w:rPr>
        <w:t> </w:t>
      </w:r>
      <w:r w:rsidRPr="00ED1831">
        <w:rPr>
          <w:rFonts w:ascii="Times New Roman" w:eastAsia="Times New Roman" w:hAnsi="Times New Roman" w:cs="Times New Roman"/>
          <w:color w:val="000000"/>
        </w:rPr>
        <w:t xml:space="preserve">by 45% in whole blood relative to AUC and </w:t>
      </w:r>
      <w:proofErr w:type="spellStart"/>
      <w:r w:rsidRPr="00ED1831">
        <w:rPr>
          <w:rFonts w:ascii="Times New Roman" w:eastAsia="Times New Roman" w:hAnsi="Times New Roman" w:cs="Times New Roman"/>
          <w:color w:val="000000"/>
        </w:rPr>
        <w:t>C</w:t>
      </w:r>
      <w:r w:rsidRPr="00ED1831">
        <w:rPr>
          <w:rFonts w:ascii="Times New Roman" w:eastAsia="Times New Roman" w:hAnsi="Times New Roman" w:cs="Times New Roman"/>
          <w:color w:val="000000"/>
          <w:sz w:val="19"/>
          <w:szCs w:val="19"/>
        </w:rPr>
        <w:t>max</w:t>
      </w:r>
      <w:proofErr w:type="spellEnd"/>
      <w:r w:rsidRPr="00ED1831">
        <w:rPr>
          <w:rFonts w:ascii="Times New Roman" w:eastAsia="Times New Roman" w:hAnsi="Times New Roman" w:cs="Times New Roman"/>
          <w:color w:val="000000"/>
        </w:rPr>
        <w:t xml:space="preserve"> in the fasted state. Similarly, AUC increased by 42% and </w:t>
      </w:r>
      <w:proofErr w:type="spellStart"/>
      <w:r w:rsidRPr="00ED1831">
        <w:rPr>
          <w:rFonts w:ascii="Times New Roman" w:eastAsia="Times New Roman" w:hAnsi="Times New Roman" w:cs="Times New Roman"/>
          <w:color w:val="000000"/>
        </w:rPr>
        <w:t>C</w:t>
      </w:r>
      <w:r w:rsidRPr="00ED1831">
        <w:rPr>
          <w:rFonts w:ascii="Times New Roman" w:eastAsia="Times New Roman" w:hAnsi="Times New Roman" w:cs="Times New Roman"/>
          <w:color w:val="000000"/>
          <w:sz w:val="19"/>
          <w:szCs w:val="19"/>
        </w:rPr>
        <w:t>max</w:t>
      </w:r>
      <w:proofErr w:type="spellEnd"/>
      <w:r w:rsidRPr="00ED1831">
        <w:rPr>
          <w:rFonts w:ascii="Times New Roman" w:eastAsia="Times New Roman" w:hAnsi="Times New Roman" w:cs="Times New Roman"/>
          <w:color w:val="000000"/>
          <w:sz w:val="19"/>
          <w:szCs w:val="19"/>
        </w:rPr>
        <w:t> </w:t>
      </w:r>
      <w:r w:rsidRPr="00ED1831">
        <w:rPr>
          <w:rFonts w:ascii="Times New Roman" w:eastAsia="Times New Roman" w:hAnsi="Times New Roman" w:cs="Times New Roman"/>
          <w:color w:val="000000"/>
        </w:rPr>
        <w:t>increased by 95% in plasma.</w:t>
      </w:r>
    </w:p>
    <w:p w14:paraId="62B0C7D1" w14:textId="77777777" w:rsidR="00ED1831" w:rsidRPr="00ED1831" w:rsidRDefault="00ED1831" w:rsidP="00ED1831">
      <w:pPr>
        <w:spacing w:before="144"/>
        <w:rPr>
          <w:rFonts w:ascii="Times New Roman" w:eastAsia="Times New Roman" w:hAnsi="Times New Roman" w:cs="Times New Roman"/>
          <w:color w:val="000000"/>
        </w:rPr>
      </w:pPr>
      <w:bookmarkStart w:id="114" w:name="ID_754003e3-9054-4ac4-9187-18439f32132d"/>
      <w:bookmarkStart w:id="115" w:name="section-10.3.3"/>
      <w:bookmarkEnd w:id="114"/>
      <w:bookmarkEnd w:id="115"/>
      <w:r w:rsidRPr="00ED1831">
        <w:rPr>
          <w:rFonts w:ascii="Times New Roman" w:eastAsia="Times New Roman" w:hAnsi="Times New Roman" w:cs="Times New Roman"/>
          <w:color w:val="000000"/>
        </w:rPr>
        <w:t>Distribution</w:t>
      </w:r>
    </w:p>
    <w:p w14:paraId="32EE8B85" w14:textId="77777777" w:rsidR="00ED1831" w:rsidRPr="00ED1831" w:rsidRDefault="00ED1831" w:rsidP="00ED1831">
      <w:pPr>
        <w:spacing w:before="144"/>
        <w:rPr>
          <w:rFonts w:ascii="Times New Roman" w:eastAsia="Times New Roman" w:hAnsi="Times New Roman" w:cs="Times New Roman"/>
          <w:color w:val="000000"/>
        </w:rPr>
      </w:pP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apparent volume of distribution of the central compartment and peripheral compartment are 333 L and 72.3 L in plasma, respectively. Protein binding is 99.8% in vitro. The blood-to-plasma ratio is approximately 17:1 in patients with SCD.</w:t>
      </w:r>
    </w:p>
    <w:p w14:paraId="046B4B0E" w14:textId="77777777" w:rsidR="00ED1831" w:rsidRPr="00ED1831" w:rsidRDefault="00ED1831" w:rsidP="00ED1831">
      <w:pPr>
        <w:spacing w:before="144"/>
        <w:rPr>
          <w:rFonts w:ascii="Times New Roman" w:eastAsia="Times New Roman" w:hAnsi="Times New Roman" w:cs="Times New Roman"/>
          <w:color w:val="000000"/>
        </w:rPr>
      </w:pPr>
      <w:bookmarkStart w:id="116" w:name="ID_5ab0fc20-2b88-409e-84cf-f5262b272ba0"/>
      <w:bookmarkStart w:id="117" w:name="section-10.3.4"/>
      <w:bookmarkEnd w:id="116"/>
      <w:bookmarkEnd w:id="117"/>
      <w:r w:rsidRPr="00ED1831">
        <w:rPr>
          <w:rFonts w:ascii="Times New Roman" w:eastAsia="Times New Roman" w:hAnsi="Times New Roman" w:cs="Times New Roman"/>
          <w:color w:val="000000"/>
        </w:rPr>
        <w:t>Elimination</w:t>
      </w:r>
    </w:p>
    <w:p w14:paraId="232B147B"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The geometric mean (%CV) terminal elimination half-life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in patients with SCD is 38.7 hours (30.2%) with concentrations in plasma, whole blood, and RBCs declining in parallel. The apparent oral clearance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was estimated as 6.1 L/h in plasma in patients with SCD.</w:t>
      </w:r>
    </w:p>
    <w:p w14:paraId="46BD7598" w14:textId="77777777" w:rsidR="00ED1831" w:rsidRPr="00ED1831" w:rsidRDefault="00ED1831" w:rsidP="00ED1831">
      <w:pPr>
        <w:spacing w:before="144"/>
        <w:rPr>
          <w:rFonts w:ascii="Times New Roman" w:eastAsia="Times New Roman" w:hAnsi="Times New Roman" w:cs="Times New Roman"/>
          <w:color w:val="000000"/>
        </w:rPr>
      </w:pPr>
      <w:bookmarkStart w:id="118" w:name="ID_cb4cd167-a177-45fc-83f5-6cb01223ab25"/>
      <w:bookmarkStart w:id="119" w:name="section-10.3.5"/>
      <w:bookmarkEnd w:id="118"/>
      <w:bookmarkEnd w:id="119"/>
      <w:r w:rsidRPr="00ED1831">
        <w:rPr>
          <w:rFonts w:ascii="Times New Roman" w:eastAsia="Times New Roman" w:hAnsi="Times New Roman" w:cs="Times New Roman"/>
          <w:color w:val="000000"/>
        </w:rPr>
        <w:t>Metabolism</w:t>
      </w:r>
    </w:p>
    <w:p w14:paraId="6D5529EC"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In vitro and in vivo studies indicate that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is extensively metabolized through Phase I (oxidation and reduction), Phase II (glucuronidation) and combinations of Phase I and II metabolism. Metabolism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is mediated by CYP3A4, CYP3A5, CYP2B6, CYP2C19, CYP2C9, UGT1A1, and UGT1A9.</w:t>
      </w:r>
    </w:p>
    <w:p w14:paraId="77363D8A" w14:textId="77777777" w:rsidR="00ED1831" w:rsidRPr="00ED1831" w:rsidRDefault="00ED1831" w:rsidP="00ED1831">
      <w:pPr>
        <w:spacing w:before="144"/>
        <w:rPr>
          <w:rFonts w:ascii="Times New Roman" w:eastAsia="Times New Roman" w:hAnsi="Times New Roman" w:cs="Times New Roman"/>
          <w:color w:val="000000"/>
        </w:rPr>
      </w:pPr>
      <w:bookmarkStart w:id="120" w:name="ID_f1237368-eca4-4130-8607-5bb4182ba150"/>
      <w:bookmarkStart w:id="121" w:name="section-10.3.6"/>
      <w:bookmarkEnd w:id="120"/>
      <w:bookmarkEnd w:id="121"/>
      <w:r w:rsidRPr="00ED1831">
        <w:rPr>
          <w:rFonts w:ascii="Times New Roman" w:eastAsia="Times New Roman" w:hAnsi="Times New Roman" w:cs="Times New Roman"/>
          <w:color w:val="000000"/>
        </w:rPr>
        <w:t>Excretion</w:t>
      </w:r>
    </w:p>
    <w:p w14:paraId="76E3CC3E"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Following the administration of radiolabeled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approximately 62.6% of the dose and its metabolites are excreted into feces (33.3% unchanged) and 35.5% in urine (0.08% unchanged).</w:t>
      </w:r>
    </w:p>
    <w:p w14:paraId="1C1F6322" w14:textId="77777777" w:rsidR="00ED1831" w:rsidRPr="00ED1831" w:rsidRDefault="00ED1831" w:rsidP="00ED1831">
      <w:pPr>
        <w:spacing w:before="144"/>
        <w:rPr>
          <w:rFonts w:ascii="Times New Roman" w:eastAsia="Times New Roman" w:hAnsi="Times New Roman" w:cs="Times New Roman"/>
          <w:color w:val="000000"/>
        </w:rPr>
      </w:pPr>
      <w:bookmarkStart w:id="122" w:name="ID_5f2a0bf1-2886-4c21-b28f-90764f1004a1"/>
      <w:bookmarkStart w:id="123" w:name="section-10.3.7"/>
      <w:bookmarkEnd w:id="122"/>
      <w:bookmarkEnd w:id="123"/>
      <w:r w:rsidRPr="00ED1831">
        <w:rPr>
          <w:rFonts w:ascii="Times New Roman" w:eastAsia="Times New Roman" w:hAnsi="Times New Roman" w:cs="Times New Roman"/>
          <w:color w:val="000000"/>
        </w:rPr>
        <w:t>Specific Populations</w:t>
      </w:r>
    </w:p>
    <w:p w14:paraId="7B2AC585"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No clinically significant differences in the pharmacokinetics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were observed based on age (12 to 59 years), sex, body weight (28 to 135 kg), or mild to severe renal impairment (creatinine clearance [</w:t>
      </w:r>
      <w:proofErr w:type="spellStart"/>
      <w:r w:rsidRPr="00ED1831">
        <w:rPr>
          <w:rFonts w:ascii="Times New Roman" w:eastAsia="Times New Roman" w:hAnsi="Times New Roman" w:cs="Times New Roman"/>
          <w:color w:val="000000"/>
        </w:rPr>
        <w:t>CLcr</w:t>
      </w:r>
      <w:proofErr w:type="spellEnd"/>
      <w:r w:rsidRPr="00ED1831">
        <w:rPr>
          <w:rFonts w:ascii="Times New Roman" w:eastAsia="Times New Roman" w:hAnsi="Times New Roman" w:cs="Times New Roman"/>
          <w:color w:val="000000"/>
        </w:rPr>
        <w:t>] 15-89 mL/min).</w:t>
      </w:r>
    </w:p>
    <w:p w14:paraId="32E88C08" w14:textId="77777777" w:rsidR="00ED1831" w:rsidRPr="00ED1831" w:rsidRDefault="00ED1831" w:rsidP="00ED1831">
      <w:pPr>
        <w:spacing w:before="144"/>
        <w:rPr>
          <w:rFonts w:ascii="Times New Roman" w:eastAsia="Times New Roman" w:hAnsi="Times New Roman" w:cs="Times New Roman"/>
          <w:color w:val="000000"/>
        </w:rPr>
      </w:pPr>
      <w:bookmarkStart w:id="124" w:name="ID_bd34f63e-ca32-4944-b089-794193e0acff"/>
      <w:bookmarkStart w:id="125" w:name="section-10.3.7.1"/>
      <w:bookmarkEnd w:id="124"/>
      <w:bookmarkEnd w:id="125"/>
      <w:r w:rsidRPr="00ED1831">
        <w:rPr>
          <w:rFonts w:ascii="Times New Roman" w:eastAsia="Times New Roman" w:hAnsi="Times New Roman" w:cs="Times New Roman"/>
          <w:i/>
          <w:iCs/>
          <w:color w:val="000000"/>
        </w:rPr>
        <w:t>Pediatric Patients</w:t>
      </w:r>
    </w:p>
    <w:p w14:paraId="1E50ED65"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The pharmacokinetic exposures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in whole blood and plasma were similar between pediatric patients 4 to &lt;17 years and adults following the recommended dosage </w:t>
      </w:r>
      <w:r w:rsidRPr="00ED1831">
        <w:rPr>
          <w:rFonts w:ascii="Times New Roman" w:eastAsia="Times New Roman" w:hAnsi="Times New Roman" w:cs="Times New Roman"/>
          <w:i/>
          <w:iCs/>
          <w:color w:val="000000"/>
        </w:rPr>
        <w:t>[see </w:t>
      </w:r>
      <w:hyperlink r:id="rId106" w:anchor="S2" w:history="1">
        <w:r w:rsidRPr="00ED1831">
          <w:rPr>
            <w:rFonts w:ascii="Times New Roman" w:eastAsia="Times New Roman" w:hAnsi="Times New Roman" w:cs="Times New Roman"/>
            <w:i/>
            <w:iCs/>
            <w:color w:val="0000FF"/>
            <w:u w:val="single"/>
          </w:rPr>
          <w:t>Dosage and Administration (2)</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w:t>
      </w:r>
    </w:p>
    <w:p w14:paraId="21AFF10B" w14:textId="77777777" w:rsidR="00ED1831" w:rsidRPr="00ED1831" w:rsidRDefault="00ED1831" w:rsidP="00ED1831">
      <w:pPr>
        <w:spacing w:before="144"/>
        <w:rPr>
          <w:rFonts w:ascii="Times New Roman" w:eastAsia="Times New Roman" w:hAnsi="Times New Roman" w:cs="Times New Roman"/>
          <w:color w:val="000000"/>
        </w:rPr>
      </w:pPr>
      <w:bookmarkStart w:id="126" w:name="ID_3b6197bf-d88c-4c8b-b893-8d5fc47e5c07"/>
      <w:bookmarkStart w:id="127" w:name="section-10.3.7.2"/>
      <w:bookmarkEnd w:id="126"/>
      <w:bookmarkEnd w:id="127"/>
      <w:r w:rsidRPr="00ED1831">
        <w:rPr>
          <w:rFonts w:ascii="Times New Roman" w:eastAsia="Times New Roman" w:hAnsi="Times New Roman" w:cs="Times New Roman"/>
          <w:i/>
          <w:iCs/>
          <w:color w:val="000000"/>
        </w:rPr>
        <w:t>Patients with Renal Impairment</w:t>
      </w:r>
    </w:p>
    <w:p w14:paraId="75BEF30F"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There was no clinically significant effect of renal function on the excretion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Following a single 900 mg dose of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whole blood exposures in subjects with severe renal impairment (eGFR &lt;30 mL/min/1.73 m</w:t>
      </w:r>
      <w:r w:rsidRPr="00ED1831">
        <w:rPr>
          <w:rFonts w:ascii="Times New Roman" w:eastAsia="Times New Roman" w:hAnsi="Times New Roman" w:cs="Times New Roman"/>
          <w:color w:val="000000"/>
          <w:sz w:val="19"/>
          <w:szCs w:val="19"/>
        </w:rPr>
        <w:t>2</w:t>
      </w:r>
      <w:r w:rsidRPr="00ED1831">
        <w:rPr>
          <w:rFonts w:ascii="Times New Roman" w:eastAsia="Times New Roman" w:hAnsi="Times New Roman" w:cs="Times New Roman"/>
          <w:color w:val="000000"/>
        </w:rPr>
        <w:t>) were 25% lower compared to healthy controls.</w:t>
      </w:r>
    </w:p>
    <w:p w14:paraId="397F6BE7"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The unbound plasma concentrations were comparable. OXBRYTA has not been evaluated in patients with end stage renal disease requiring dialysis.</w:t>
      </w:r>
    </w:p>
    <w:p w14:paraId="685B5482" w14:textId="77777777" w:rsidR="00ED1831" w:rsidRPr="00ED1831" w:rsidRDefault="00ED1831" w:rsidP="00ED1831">
      <w:pPr>
        <w:spacing w:before="144"/>
        <w:rPr>
          <w:rFonts w:ascii="Times New Roman" w:eastAsia="Times New Roman" w:hAnsi="Times New Roman" w:cs="Times New Roman"/>
          <w:color w:val="000000"/>
        </w:rPr>
      </w:pPr>
      <w:bookmarkStart w:id="128" w:name="ID_3ede6f91-4d85-4b0f-b37c-a8c8b8733c8e"/>
      <w:bookmarkStart w:id="129" w:name="section-10.3.7.3"/>
      <w:bookmarkEnd w:id="128"/>
      <w:bookmarkEnd w:id="129"/>
      <w:r w:rsidRPr="00ED1831">
        <w:rPr>
          <w:rFonts w:ascii="Times New Roman" w:eastAsia="Times New Roman" w:hAnsi="Times New Roman" w:cs="Times New Roman"/>
          <w:i/>
          <w:iCs/>
          <w:color w:val="000000"/>
        </w:rPr>
        <w:t>Patients with Hepatic Impairment</w:t>
      </w:r>
    </w:p>
    <w:p w14:paraId="12C5E608"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The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AUC in whole blood were 14% and 15% higher in subjects with mild and moderate hepatic impairment (Child Pugh A and B) and 90% higher in subjects with severe hepatic impairment (Child Pugh C) compared to subjects with normal hepatic function.</w:t>
      </w:r>
    </w:p>
    <w:p w14:paraId="4D167C79" w14:textId="77777777" w:rsidR="00ED1831" w:rsidRPr="00ED1831" w:rsidRDefault="00ED1831" w:rsidP="00ED1831">
      <w:pPr>
        <w:spacing w:before="144"/>
        <w:rPr>
          <w:rFonts w:ascii="Times New Roman" w:eastAsia="Times New Roman" w:hAnsi="Times New Roman" w:cs="Times New Roman"/>
          <w:color w:val="000000"/>
        </w:rPr>
      </w:pPr>
      <w:bookmarkStart w:id="130" w:name="ID_cbacb2c1-a088-4bd2-9e82-232b0e855595"/>
      <w:bookmarkStart w:id="131" w:name="section-10.3.7.4"/>
      <w:bookmarkEnd w:id="130"/>
      <w:bookmarkEnd w:id="131"/>
      <w:r w:rsidRPr="00ED1831">
        <w:rPr>
          <w:rFonts w:ascii="Times New Roman" w:eastAsia="Times New Roman" w:hAnsi="Times New Roman" w:cs="Times New Roman"/>
          <w:i/>
          <w:iCs/>
          <w:color w:val="000000"/>
        </w:rPr>
        <w:lastRenderedPageBreak/>
        <w:t xml:space="preserve">Patients with </w:t>
      </w:r>
      <w:proofErr w:type="spellStart"/>
      <w:r w:rsidRPr="00ED1831">
        <w:rPr>
          <w:rFonts w:ascii="Times New Roman" w:eastAsia="Times New Roman" w:hAnsi="Times New Roman" w:cs="Times New Roman"/>
          <w:i/>
          <w:iCs/>
          <w:color w:val="000000"/>
        </w:rPr>
        <w:t>HbSC</w:t>
      </w:r>
      <w:proofErr w:type="spellEnd"/>
      <w:r w:rsidRPr="00ED1831">
        <w:rPr>
          <w:rFonts w:ascii="Times New Roman" w:eastAsia="Times New Roman" w:hAnsi="Times New Roman" w:cs="Times New Roman"/>
          <w:i/>
          <w:iCs/>
          <w:color w:val="000000"/>
        </w:rPr>
        <w:t xml:space="preserve"> Genotype</w:t>
      </w:r>
    </w:p>
    <w:p w14:paraId="72B2174E" w14:textId="77777777" w:rsidR="00ED1831" w:rsidRPr="00ED1831" w:rsidRDefault="00ED1831" w:rsidP="00ED1831">
      <w:pPr>
        <w:spacing w:before="144"/>
        <w:rPr>
          <w:rFonts w:ascii="Times New Roman" w:eastAsia="Times New Roman" w:hAnsi="Times New Roman" w:cs="Times New Roman"/>
          <w:color w:val="000000"/>
        </w:rPr>
      </w:pP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steady state whole blood AUC and </w:t>
      </w:r>
      <w:proofErr w:type="spellStart"/>
      <w:r w:rsidRPr="00ED1831">
        <w:rPr>
          <w:rFonts w:ascii="Times New Roman" w:eastAsia="Times New Roman" w:hAnsi="Times New Roman" w:cs="Times New Roman"/>
          <w:color w:val="000000"/>
        </w:rPr>
        <w:t>C</w:t>
      </w:r>
      <w:r w:rsidRPr="00ED1831">
        <w:rPr>
          <w:rFonts w:ascii="Times New Roman" w:eastAsia="Times New Roman" w:hAnsi="Times New Roman" w:cs="Times New Roman"/>
          <w:color w:val="000000"/>
          <w:sz w:val="19"/>
          <w:szCs w:val="19"/>
        </w:rPr>
        <w:t>max</w:t>
      </w:r>
      <w:proofErr w:type="spellEnd"/>
      <w:r w:rsidRPr="00ED1831">
        <w:rPr>
          <w:rFonts w:ascii="Times New Roman" w:eastAsia="Times New Roman" w:hAnsi="Times New Roman" w:cs="Times New Roman"/>
          <w:color w:val="000000"/>
        </w:rPr>
        <w:t xml:space="preserve"> were 50% and 45% higher in </w:t>
      </w:r>
      <w:proofErr w:type="spellStart"/>
      <w:r w:rsidRPr="00ED1831">
        <w:rPr>
          <w:rFonts w:ascii="Times New Roman" w:eastAsia="Times New Roman" w:hAnsi="Times New Roman" w:cs="Times New Roman"/>
          <w:color w:val="000000"/>
        </w:rPr>
        <w:t>HbSC</w:t>
      </w:r>
      <w:proofErr w:type="spellEnd"/>
      <w:r w:rsidRPr="00ED1831">
        <w:rPr>
          <w:rFonts w:ascii="Times New Roman" w:eastAsia="Times New Roman" w:hAnsi="Times New Roman" w:cs="Times New Roman"/>
          <w:color w:val="000000"/>
        </w:rPr>
        <w:t xml:space="preserve"> genotype patients (n=11) compared to </w:t>
      </w:r>
      <w:proofErr w:type="spellStart"/>
      <w:r w:rsidRPr="00ED1831">
        <w:rPr>
          <w:rFonts w:ascii="Times New Roman" w:eastAsia="Times New Roman" w:hAnsi="Times New Roman" w:cs="Times New Roman"/>
          <w:color w:val="000000"/>
        </w:rPr>
        <w:t>HbSS</w:t>
      </w:r>
      <w:proofErr w:type="spellEnd"/>
      <w:r w:rsidRPr="00ED1831">
        <w:rPr>
          <w:rFonts w:ascii="Times New Roman" w:eastAsia="Times New Roman" w:hAnsi="Times New Roman" w:cs="Times New Roman"/>
          <w:color w:val="000000"/>
        </w:rPr>
        <w:t xml:space="preserve"> genotype (n=220) patients and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steady state plasma AUC and </w:t>
      </w:r>
      <w:proofErr w:type="spellStart"/>
      <w:r w:rsidRPr="00ED1831">
        <w:rPr>
          <w:rFonts w:ascii="Times New Roman" w:eastAsia="Times New Roman" w:hAnsi="Times New Roman" w:cs="Times New Roman"/>
          <w:color w:val="000000"/>
        </w:rPr>
        <w:t>C</w:t>
      </w:r>
      <w:r w:rsidRPr="00ED1831">
        <w:rPr>
          <w:rFonts w:ascii="Times New Roman" w:eastAsia="Times New Roman" w:hAnsi="Times New Roman" w:cs="Times New Roman"/>
          <w:color w:val="000000"/>
          <w:sz w:val="19"/>
          <w:szCs w:val="19"/>
        </w:rPr>
        <w:t>max</w:t>
      </w:r>
      <w:proofErr w:type="spellEnd"/>
      <w:r w:rsidRPr="00ED1831">
        <w:rPr>
          <w:rFonts w:ascii="Times New Roman" w:eastAsia="Times New Roman" w:hAnsi="Times New Roman" w:cs="Times New Roman"/>
          <w:color w:val="000000"/>
        </w:rPr>
        <w:t xml:space="preserve"> were 23% and 15% higher in </w:t>
      </w:r>
      <w:proofErr w:type="spellStart"/>
      <w:r w:rsidRPr="00ED1831">
        <w:rPr>
          <w:rFonts w:ascii="Times New Roman" w:eastAsia="Times New Roman" w:hAnsi="Times New Roman" w:cs="Times New Roman"/>
          <w:color w:val="000000"/>
        </w:rPr>
        <w:t>HbSC</w:t>
      </w:r>
      <w:proofErr w:type="spellEnd"/>
      <w:r w:rsidRPr="00ED1831">
        <w:rPr>
          <w:rFonts w:ascii="Times New Roman" w:eastAsia="Times New Roman" w:hAnsi="Times New Roman" w:cs="Times New Roman"/>
          <w:color w:val="000000"/>
        </w:rPr>
        <w:t xml:space="preserve"> genotype patients compared to </w:t>
      </w:r>
      <w:proofErr w:type="spellStart"/>
      <w:r w:rsidRPr="00ED1831">
        <w:rPr>
          <w:rFonts w:ascii="Times New Roman" w:eastAsia="Times New Roman" w:hAnsi="Times New Roman" w:cs="Times New Roman"/>
          <w:color w:val="000000"/>
        </w:rPr>
        <w:t>HbSS</w:t>
      </w:r>
      <w:proofErr w:type="spellEnd"/>
      <w:r w:rsidRPr="00ED1831">
        <w:rPr>
          <w:rFonts w:ascii="Times New Roman" w:eastAsia="Times New Roman" w:hAnsi="Times New Roman" w:cs="Times New Roman"/>
          <w:color w:val="000000"/>
        </w:rPr>
        <w:t xml:space="preserve"> genotype patients.</w:t>
      </w:r>
    </w:p>
    <w:p w14:paraId="3534F403" w14:textId="77777777" w:rsidR="00ED1831" w:rsidRPr="00ED1831" w:rsidRDefault="00ED1831" w:rsidP="00ED1831">
      <w:pPr>
        <w:spacing w:before="144"/>
        <w:rPr>
          <w:rFonts w:ascii="Times New Roman" w:eastAsia="Times New Roman" w:hAnsi="Times New Roman" w:cs="Times New Roman"/>
          <w:color w:val="000000"/>
        </w:rPr>
      </w:pPr>
      <w:bookmarkStart w:id="132" w:name="ID_265cc1f8-f61a-4bff-9df9-244b7a455af6"/>
      <w:bookmarkStart w:id="133" w:name="section-10.3.8"/>
      <w:bookmarkEnd w:id="132"/>
      <w:bookmarkEnd w:id="133"/>
      <w:r w:rsidRPr="00ED1831">
        <w:rPr>
          <w:rFonts w:ascii="Times New Roman" w:eastAsia="Times New Roman" w:hAnsi="Times New Roman" w:cs="Times New Roman"/>
          <w:color w:val="000000"/>
        </w:rPr>
        <w:t>Drug Interaction Studies</w:t>
      </w:r>
    </w:p>
    <w:p w14:paraId="4B81E77D" w14:textId="77777777" w:rsidR="00ED1831" w:rsidRPr="00ED1831" w:rsidRDefault="00ED1831" w:rsidP="00ED1831">
      <w:pPr>
        <w:spacing w:before="144"/>
        <w:rPr>
          <w:rFonts w:ascii="Times New Roman" w:eastAsia="Times New Roman" w:hAnsi="Times New Roman" w:cs="Times New Roman"/>
          <w:color w:val="000000"/>
        </w:rPr>
      </w:pPr>
      <w:bookmarkStart w:id="134" w:name="ID_2aa896ba-ed0a-4255-b75b-f28d62478bf3"/>
      <w:bookmarkStart w:id="135" w:name="section-10.3.8.1"/>
      <w:bookmarkEnd w:id="134"/>
      <w:bookmarkEnd w:id="135"/>
      <w:r w:rsidRPr="00ED1831">
        <w:rPr>
          <w:rFonts w:ascii="Times New Roman" w:eastAsia="Times New Roman" w:hAnsi="Times New Roman" w:cs="Times New Roman"/>
          <w:i/>
          <w:iCs/>
          <w:color w:val="000000"/>
        </w:rPr>
        <w:t>Clinical Studies and Model-Informed Approaches</w:t>
      </w:r>
    </w:p>
    <w:p w14:paraId="519A7C6D" w14:textId="77777777" w:rsidR="00ED1831" w:rsidRPr="00ED1831" w:rsidRDefault="00ED1831" w:rsidP="00ED1831">
      <w:pPr>
        <w:spacing w:before="144"/>
        <w:rPr>
          <w:rFonts w:ascii="Times New Roman" w:eastAsia="Times New Roman" w:hAnsi="Times New Roman" w:cs="Times New Roman"/>
          <w:color w:val="000000"/>
        </w:rPr>
      </w:pPr>
      <w:bookmarkStart w:id="136" w:name="ID_bbee62bf-8923-4b8d-9521-783045eb78e9"/>
      <w:bookmarkStart w:id="137" w:name="section-10.3.8.1.1"/>
      <w:bookmarkEnd w:id="136"/>
      <w:bookmarkEnd w:id="137"/>
      <w:r w:rsidRPr="00ED1831">
        <w:rPr>
          <w:rFonts w:ascii="Times New Roman" w:eastAsia="Times New Roman" w:hAnsi="Times New Roman" w:cs="Times New Roman"/>
          <w:i/>
          <w:iCs/>
          <w:color w:val="000000"/>
        </w:rPr>
        <w:t xml:space="preserve">Effect of Strong CYP3A4 Inhibitors on </w:t>
      </w:r>
      <w:proofErr w:type="spellStart"/>
      <w:r w:rsidRPr="00ED1831">
        <w:rPr>
          <w:rFonts w:ascii="Times New Roman" w:eastAsia="Times New Roman" w:hAnsi="Times New Roman" w:cs="Times New Roman"/>
          <w:i/>
          <w:iCs/>
          <w:color w:val="000000"/>
        </w:rPr>
        <w:t>Voxelotor</w:t>
      </w:r>
      <w:proofErr w:type="spellEnd"/>
      <w:r w:rsidRPr="00ED1831">
        <w:rPr>
          <w:rFonts w:ascii="Times New Roman" w:eastAsia="Times New Roman" w:hAnsi="Times New Roman" w:cs="Times New Roman"/>
          <w:i/>
          <w:iCs/>
          <w:color w:val="000000"/>
        </w:rPr>
        <w:t>: </w:t>
      </w:r>
      <w:r w:rsidRPr="00ED1831">
        <w:rPr>
          <w:rFonts w:ascii="Times New Roman" w:eastAsia="Times New Roman" w:hAnsi="Times New Roman" w:cs="Times New Roman"/>
          <w:color w:val="000000"/>
        </w:rPr>
        <w:t xml:space="preserve">concomitant use of OXBRYTA with itraconazole increased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AUC in healthy subjects by 11%.</w:t>
      </w:r>
    </w:p>
    <w:p w14:paraId="2EA44F85" w14:textId="77777777" w:rsidR="00ED1831" w:rsidRPr="00ED1831" w:rsidRDefault="00ED1831" w:rsidP="00ED1831">
      <w:pPr>
        <w:spacing w:before="144"/>
        <w:rPr>
          <w:rFonts w:ascii="Times New Roman" w:eastAsia="Times New Roman" w:hAnsi="Times New Roman" w:cs="Times New Roman"/>
          <w:color w:val="000000"/>
        </w:rPr>
      </w:pPr>
      <w:bookmarkStart w:id="138" w:name="ID_d410d982-088d-48e3-be82-fb9c0a89adcd"/>
      <w:bookmarkStart w:id="139" w:name="section-10.3.8.1.2"/>
      <w:bookmarkEnd w:id="138"/>
      <w:bookmarkEnd w:id="139"/>
      <w:r w:rsidRPr="00ED1831">
        <w:rPr>
          <w:rFonts w:ascii="Times New Roman" w:eastAsia="Times New Roman" w:hAnsi="Times New Roman" w:cs="Times New Roman"/>
          <w:i/>
          <w:iCs/>
          <w:color w:val="000000"/>
        </w:rPr>
        <w:t xml:space="preserve">Effect of Strong or Moderate CYP3A4 Inducers on </w:t>
      </w:r>
      <w:proofErr w:type="spellStart"/>
      <w:r w:rsidRPr="00ED1831">
        <w:rPr>
          <w:rFonts w:ascii="Times New Roman" w:eastAsia="Times New Roman" w:hAnsi="Times New Roman" w:cs="Times New Roman"/>
          <w:i/>
          <w:iCs/>
          <w:color w:val="000000"/>
        </w:rPr>
        <w:t>Voxelotor</w:t>
      </w:r>
      <w:proofErr w:type="spellEnd"/>
      <w:r w:rsidRPr="00ED1831">
        <w:rPr>
          <w:rFonts w:ascii="Times New Roman" w:eastAsia="Times New Roman" w:hAnsi="Times New Roman" w:cs="Times New Roman"/>
          <w:color w:val="000000"/>
        </w:rPr>
        <w:t xml:space="preserve">: concomitant use of OXBRYTA with rifampin (a strong CYP3A4 inducer) is predicted to decrease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AUC in patients by up to 40%, and efavirenz (a moderate CYP3A4 inducer) is predicted to decrease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AUC in patients by up to 24%.</w:t>
      </w:r>
    </w:p>
    <w:p w14:paraId="708B66B3" w14:textId="77777777" w:rsidR="00ED1831" w:rsidRPr="00ED1831" w:rsidRDefault="00ED1831" w:rsidP="00ED1831">
      <w:pPr>
        <w:spacing w:before="144"/>
        <w:rPr>
          <w:rFonts w:ascii="Times New Roman" w:eastAsia="Times New Roman" w:hAnsi="Times New Roman" w:cs="Times New Roman"/>
          <w:color w:val="000000"/>
        </w:rPr>
      </w:pPr>
      <w:bookmarkStart w:id="140" w:name="ID_8bbecc9c-58d7-4af9-ada8-0f26e657e3e5"/>
      <w:bookmarkStart w:id="141" w:name="section-10.3.8.1.3"/>
      <w:bookmarkEnd w:id="140"/>
      <w:bookmarkEnd w:id="141"/>
      <w:r w:rsidRPr="00ED1831">
        <w:rPr>
          <w:rFonts w:ascii="Times New Roman" w:eastAsia="Times New Roman" w:hAnsi="Times New Roman" w:cs="Times New Roman"/>
          <w:i/>
          <w:iCs/>
          <w:color w:val="000000"/>
        </w:rPr>
        <w:t xml:space="preserve">Effect of Acid Reducing Agents on </w:t>
      </w:r>
      <w:proofErr w:type="spellStart"/>
      <w:r w:rsidRPr="00ED1831">
        <w:rPr>
          <w:rFonts w:ascii="Times New Roman" w:eastAsia="Times New Roman" w:hAnsi="Times New Roman" w:cs="Times New Roman"/>
          <w:i/>
          <w:iCs/>
          <w:color w:val="000000"/>
        </w:rPr>
        <w:t>Voxelotor</w:t>
      </w:r>
      <w:proofErr w:type="spellEnd"/>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 xml:space="preserve"> coadministration of omeprazole (proton pump inhibitor) with OXBRYTA did not alter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exposure.</w:t>
      </w:r>
    </w:p>
    <w:p w14:paraId="2EEFC283" w14:textId="77777777" w:rsidR="00ED1831" w:rsidRPr="00ED1831" w:rsidRDefault="00ED1831" w:rsidP="00ED1831">
      <w:pPr>
        <w:spacing w:before="144"/>
        <w:rPr>
          <w:rFonts w:ascii="Times New Roman" w:eastAsia="Times New Roman" w:hAnsi="Times New Roman" w:cs="Times New Roman"/>
          <w:color w:val="000000"/>
        </w:rPr>
      </w:pPr>
      <w:bookmarkStart w:id="142" w:name="ID_7482de1f-1d2f-487a-ae8d-468a06634850"/>
      <w:bookmarkStart w:id="143" w:name="section-10.3.8.1.4"/>
      <w:bookmarkEnd w:id="142"/>
      <w:bookmarkEnd w:id="143"/>
      <w:r w:rsidRPr="00ED1831">
        <w:rPr>
          <w:rFonts w:ascii="Times New Roman" w:eastAsia="Times New Roman" w:hAnsi="Times New Roman" w:cs="Times New Roman"/>
          <w:i/>
          <w:iCs/>
          <w:color w:val="000000"/>
        </w:rPr>
        <w:t xml:space="preserve">Effect of </w:t>
      </w:r>
      <w:proofErr w:type="spellStart"/>
      <w:r w:rsidRPr="00ED1831">
        <w:rPr>
          <w:rFonts w:ascii="Times New Roman" w:eastAsia="Times New Roman" w:hAnsi="Times New Roman" w:cs="Times New Roman"/>
          <w:i/>
          <w:iCs/>
          <w:color w:val="000000"/>
        </w:rPr>
        <w:t>Voxelotor</w:t>
      </w:r>
      <w:proofErr w:type="spellEnd"/>
      <w:r w:rsidRPr="00ED1831">
        <w:rPr>
          <w:rFonts w:ascii="Times New Roman" w:eastAsia="Times New Roman" w:hAnsi="Times New Roman" w:cs="Times New Roman"/>
          <w:i/>
          <w:iCs/>
          <w:color w:val="000000"/>
        </w:rPr>
        <w:t xml:space="preserve"> on CYP450 Enzymes:</w:t>
      </w:r>
      <w:r w:rsidRPr="00ED1831">
        <w:rPr>
          <w:rFonts w:ascii="Times New Roman" w:eastAsia="Times New Roman" w:hAnsi="Times New Roman" w:cs="Times New Roman"/>
          <w:color w:val="000000"/>
        </w:rPr>
        <w:t xml:space="preserve"> in vivo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inhibits CYP3A4, but not CYP1A2, CYP2C9, CYP2C19, CYP2C8, or CYP2D6. The observed exposure increase of the CYP3A4 substrate midazolam in healthy subjects was 1.6-fold and the predicted increase in patients after multiple dosing is 2.5-fold.</w:t>
      </w:r>
    </w:p>
    <w:p w14:paraId="3F05DB34" w14:textId="77777777" w:rsidR="00ED1831" w:rsidRPr="00ED1831" w:rsidRDefault="00ED1831" w:rsidP="00ED1831">
      <w:pPr>
        <w:spacing w:before="144"/>
        <w:rPr>
          <w:rFonts w:ascii="Times New Roman" w:eastAsia="Times New Roman" w:hAnsi="Times New Roman" w:cs="Times New Roman"/>
          <w:color w:val="000000"/>
        </w:rPr>
      </w:pPr>
      <w:bookmarkStart w:id="144" w:name="ID_ec21289f-510b-4adb-96b7-7835dc2dacb6"/>
      <w:bookmarkStart w:id="145" w:name="section-10.3.8.1.5"/>
      <w:bookmarkEnd w:id="144"/>
      <w:bookmarkEnd w:id="145"/>
      <w:r w:rsidRPr="00ED1831">
        <w:rPr>
          <w:rFonts w:ascii="Times New Roman" w:eastAsia="Times New Roman" w:hAnsi="Times New Roman" w:cs="Times New Roman"/>
          <w:i/>
          <w:iCs/>
          <w:color w:val="000000"/>
        </w:rPr>
        <w:t xml:space="preserve">Effect of </w:t>
      </w:r>
      <w:proofErr w:type="spellStart"/>
      <w:r w:rsidRPr="00ED1831">
        <w:rPr>
          <w:rFonts w:ascii="Times New Roman" w:eastAsia="Times New Roman" w:hAnsi="Times New Roman" w:cs="Times New Roman"/>
          <w:i/>
          <w:iCs/>
          <w:color w:val="000000"/>
        </w:rPr>
        <w:t>Voxelotor</w:t>
      </w:r>
      <w:proofErr w:type="spellEnd"/>
      <w:r w:rsidRPr="00ED1831">
        <w:rPr>
          <w:rFonts w:ascii="Times New Roman" w:eastAsia="Times New Roman" w:hAnsi="Times New Roman" w:cs="Times New Roman"/>
          <w:i/>
          <w:iCs/>
          <w:color w:val="000000"/>
        </w:rPr>
        <w:t xml:space="preserve"> on P-</w:t>
      </w:r>
      <w:proofErr w:type="spellStart"/>
      <w:r w:rsidRPr="00ED1831">
        <w:rPr>
          <w:rFonts w:ascii="Times New Roman" w:eastAsia="Times New Roman" w:hAnsi="Times New Roman" w:cs="Times New Roman"/>
          <w:i/>
          <w:iCs/>
          <w:color w:val="000000"/>
        </w:rPr>
        <w:t>gp</w:t>
      </w:r>
      <w:proofErr w:type="spellEnd"/>
      <w:r w:rsidRPr="00ED1831">
        <w:rPr>
          <w:rFonts w:ascii="Times New Roman" w:eastAsia="Times New Roman" w:hAnsi="Times New Roman" w:cs="Times New Roman"/>
          <w:color w:val="000000"/>
        </w:rPr>
        <w:t>: concomitant use of OXBRYTA with digoxin (a P-</w:t>
      </w:r>
      <w:proofErr w:type="spellStart"/>
      <w:r w:rsidRPr="00ED1831">
        <w:rPr>
          <w:rFonts w:ascii="Times New Roman" w:eastAsia="Times New Roman" w:hAnsi="Times New Roman" w:cs="Times New Roman"/>
          <w:color w:val="000000"/>
        </w:rPr>
        <w:t>gp</w:t>
      </w:r>
      <w:proofErr w:type="spellEnd"/>
      <w:r w:rsidRPr="00ED1831">
        <w:rPr>
          <w:rFonts w:ascii="Times New Roman" w:eastAsia="Times New Roman" w:hAnsi="Times New Roman" w:cs="Times New Roman"/>
          <w:color w:val="000000"/>
        </w:rPr>
        <w:t xml:space="preserve"> substrate) did not alter digoxin to a clinically relevant extent.</w:t>
      </w:r>
    </w:p>
    <w:p w14:paraId="5EB73BE5" w14:textId="77777777" w:rsidR="00ED1831" w:rsidRPr="00ED1831" w:rsidRDefault="00ED1831" w:rsidP="00ED1831">
      <w:pPr>
        <w:spacing w:before="144"/>
        <w:rPr>
          <w:rFonts w:ascii="Times New Roman" w:eastAsia="Times New Roman" w:hAnsi="Times New Roman" w:cs="Times New Roman"/>
          <w:color w:val="000000"/>
        </w:rPr>
      </w:pPr>
      <w:bookmarkStart w:id="146" w:name="ID_6e91f402-eec4-4509-a1f3-085936ea3255"/>
      <w:bookmarkStart w:id="147" w:name="section-10.3.8.2"/>
      <w:bookmarkEnd w:id="146"/>
      <w:bookmarkEnd w:id="147"/>
      <w:r w:rsidRPr="00ED1831">
        <w:rPr>
          <w:rFonts w:ascii="Times New Roman" w:eastAsia="Times New Roman" w:hAnsi="Times New Roman" w:cs="Times New Roman"/>
          <w:i/>
          <w:iCs/>
          <w:color w:val="000000"/>
        </w:rPr>
        <w:t>In Vitro Studies</w:t>
      </w:r>
    </w:p>
    <w:p w14:paraId="3681B083" w14:textId="77777777" w:rsidR="00ED1831" w:rsidRPr="00ED1831" w:rsidRDefault="00ED1831" w:rsidP="00ED1831">
      <w:pPr>
        <w:spacing w:before="144"/>
        <w:rPr>
          <w:rFonts w:ascii="Times New Roman" w:eastAsia="Times New Roman" w:hAnsi="Times New Roman" w:cs="Times New Roman"/>
          <w:color w:val="000000"/>
        </w:rPr>
      </w:pPr>
      <w:bookmarkStart w:id="148" w:name="ID_cdd6a3cf-2feb-459e-8dcc-b1ce80d6a7c9"/>
      <w:bookmarkStart w:id="149" w:name="section-10.3.8.2.1"/>
      <w:bookmarkEnd w:id="148"/>
      <w:bookmarkEnd w:id="149"/>
      <w:r w:rsidRPr="00ED1831">
        <w:rPr>
          <w:rFonts w:ascii="Times New Roman" w:eastAsia="Times New Roman" w:hAnsi="Times New Roman" w:cs="Times New Roman"/>
          <w:i/>
          <w:iCs/>
          <w:color w:val="000000"/>
        </w:rPr>
        <w:t>CYP Enzymes: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is a reversible and time-dependent inhibitor as well as an inducer of CYP2B6.</w:t>
      </w:r>
    </w:p>
    <w:p w14:paraId="285D4FC8" w14:textId="77777777" w:rsidR="00ED1831" w:rsidRPr="00ED1831" w:rsidRDefault="00ED1831" w:rsidP="00ED1831">
      <w:pPr>
        <w:spacing w:before="144"/>
        <w:rPr>
          <w:rFonts w:ascii="Times New Roman" w:eastAsia="Times New Roman" w:hAnsi="Times New Roman" w:cs="Times New Roman"/>
          <w:color w:val="000000"/>
        </w:rPr>
      </w:pPr>
      <w:bookmarkStart w:id="150" w:name="ID_1226b54b-38fd-454b-9cd4-2876caecee06"/>
      <w:bookmarkStart w:id="151" w:name="section-10.3.8.2.2"/>
      <w:bookmarkEnd w:id="150"/>
      <w:bookmarkEnd w:id="151"/>
      <w:r w:rsidRPr="00ED1831">
        <w:rPr>
          <w:rFonts w:ascii="Times New Roman" w:eastAsia="Times New Roman" w:hAnsi="Times New Roman" w:cs="Times New Roman"/>
          <w:i/>
          <w:iCs/>
          <w:color w:val="000000"/>
        </w:rPr>
        <w:t>Transporter Systems</w:t>
      </w:r>
      <w:r w:rsidRPr="00ED1831">
        <w:rPr>
          <w:rFonts w:ascii="Times New Roman" w:eastAsia="Times New Roman" w:hAnsi="Times New Roman" w:cs="Times New Roman"/>
          <w:color w:val="000000"/>
        </w:rPr>
        <w:t xml:space="preserve">: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is not an inhibitor of P-</w:t>
      </w:r>
      <w:proofErr w:type="spellStart"/>
      <w:r w:rsidRPr="00ED1831">
        <w:rPr>
          <w:rFonts w:ascii="Times New Roman" w:eastAsia="Times New Roman" w:hAnsi="Times New Roman" w:cs="Times New Roman"/>
          <w:color w:val="000000"/>
        </w:rPr>
        <w:t>gp</w:t>
      </w:r>
      <w:proofErr w:type="spellEnd"/>
      <w:r w:rsidRPr="00ED1831">
        <w:rPr>
          <w:rFonts w:ascii="Times New Roman" w:eastAsia="Times New Roman" w:hAnsi="Times New Roman" w:cs="Times New Roman"/>
          <w:color w:val="000000"/>
        </w:rPr>
        <w:t xml:space="preserve">, BCRP, OATP1B1, OATP1B3, OCT2, OAT1, OAT3, MATE1, MATE2-K, or BSEP.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is not a substrate of P-</w:t>
      </w:r>
      <w:proofErr w:type="spellStart"/>
      <w:r w:rsidRPr="00ED1831">
        <w:rPr>
          <w:rFonts w:ascii="Times New Roman" w:eastAsia="Times New Roman" w:hAnsi="Times New Roman" w:cs="Times New Roman"/>
          <w:color w:val="000000"/>
        </w:rPr>
        <w:t>gp</w:t>
      </w:r>
      <w:proofErr w:type="spellEnd"/>
      <w:r w:rsidRPr="00ED1831">
        <w:rPr>
          <w:rFonts w:ascii="Times New Roman" w:eastAsia="Times New Roman" w:hAnsi="Times New Roman" w:cs="Times New Roman"/>
          <w:color w:val="000000"/>
        </w:rPr>
        <w:t>, BCRP, OATP1A2, OATP1B1, OATP1B3, or BSEP.</w:t>
      </w:r>
    </w:p>
    <w:p w14:paraId="1ECA7C5B" w14:textId="77777777" w:rsidR="00ED1831" w:rsidRPr="00ED1831" w:rsidRDefault="00ED1831" w:rsidP="00ED1831">
      <w:pPr>
        <w:spacing w:before="480"/>
        <w:outlineLvl w:val="0"/>
        <w:rPr>
          <w:rFonts w:ascii="Times New Roman" w:eastAsia="Times New Roman" w:hAnsi="Times New Roman" w:cs="Times New Roman"/>
          <w:b/>
          <w:bCs/>
          <w:color w:val="000000"/>
          <w:kern w:val="36"/>
        </w:rPr>
      </w:pPr>
      <w:bookmarkStart w:id="152" w:name="S13"/>
      <w:bookmarkStart w:id="153" w:name="section-11"/>
      <w:bookmarkEnd w:id="152"/>
      <w:bookmarkEnd w:id="153"/>
      <w:r w:rsidRPr="00ED1831">
        <w:rPr>
          <w:rFonts w:ascii="Times New Roman" w:eastAsia="Times New Roman" w:hAnsi="Times New Roman" w:cs="Times New Roman"/>
          <w:b/>
          <w:bCs/>
          <w:color w:val="000000"/>
          <w:kern w:val="36"/>
        </w:rPr>
        <w:t>13 NONCLINICAL TOXICOLOGY</w:t>
      </w:r>
    </w:p>
    <w:p w14:paraId="59117A96"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154" w:name="S13.1"/>
      <w:bookmarkStart w:id="155" w:name="section-11.1"/>
      <w:bookmarkEnd w:id="154"/>
      <w:bookmarkEnd w:id="155"/>
      <w:r w:rsidRPr="00ED1831">
        <w:rPr>
          <w:rFonts w:ascii="Times New Roman" w:eastAsia="Times New Roman" w:hAnsi="Times New Roman" w:cs="Times New Roman"/>
          <w:b/>
          <w:bCs/>
          <w:color w:val="000000"/>
        </w:rPr>
        <w:t>13.1 Carcinogenesis, Mutagenesis, Impairment of Fertility</w:t>
      </w:r>
    </w:p>
    <w:p w14:paraId="0E98A9EE" w14:textId="77777777" w:rsidR="00ED1831" w:rsidRPr="00ED1831" w:rsidRDefault="00ED1831" w:rsidP="00ED1831">
      <w:pPr>
        <w:spacing w:before="144"/>
        <w:rPr>
          <w:rFonts w:ascii="Times New Roman" w:eastAsia="Times New Roman" w:hAnsi="Times New Roman" w:cs="Times New Roman"/>
          <w:color w:val="000000"/>
        </w:rPr>
      </w:pP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was not carcinogenic in a 26-week study in RasH2 transgenic mice at oral doses of 30, 150, or 500 mg/kg/day.</w:t>
      </w:r>
    </w:p>
    <w:p w14:paraId="11BBD659" w14:textId="77777777" w:rsidR="00ED1831" w:rsidRPr="00ED1831" w:rsidRDefault="00ED1831" w:rsidP="00ED1831">
      <w:pPr>
        <w:spacing w:before="144"/>
        <w:rPr>
          <w:rFonts w:ascii="Times New Roman" w:eastAsia="Times New Roman" w:hAnsi="Times New Roman" w:cs="Times New Roman"/>
          <w:color w:val="000000"/>
        </w:rPr>
      </w:pP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was not genotoxic in the reverse mutation bacterial (Ames) test, rat Comet assay, or rat micronucleus assay.</w:t>
      </w:r>
    </w:p>
    <w:p w14:paraId="6E1AC15D"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In a fertility and early embryonic development study,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was administered orally to rats at 15, 50, and 250 mg/kg/day. Males were dosed 28 days prior to mating through cohabitation and females were dosed 14 days prior to mating through gestation Day 7. </w:t>
      </w:r>
      <w:proofErr w:type="spellStart"/>
      <w:r w:rsidRPr="00ED1831">
        <w:rPr>
          <w:rFonts w:ascii="Times New Roman" w:eastAsia="Times New Roman" w:hAnsi="Times New Roman" w:cs="Times New Roman"/>
          <w:color w:val="000000"/>
        </w:rPr>
        <w:t>Voxelotor</w:t>
      </w:r>
      <w:proofErr w:type="spellEnd"/>
      <w:r w:rsidRPr="00ED1831">
        <w:rPr>
          <w:rFonts w:ascii="Times New Roman" w:eastAsia="Times New Roman" w:hAnsi="Times New Roman" w:cs="Times New Roman"/>
          <w:color w:val="000000"/>
        </w:rPr>
        <w:t xml:space="preserve"> had no effect on </w:t>
      </w:r>
      <w:r w:rsidRPr="00ED1831">
        <w:rPr>
          <w:rFonts w:ascii="Times New Roman" w:eastAsia="Times New Roman" w:hAnsi="Times New Roman" w:cs="Times New Roman"/>
          <w:color w:val="000000"/>
        </w:rPr>
        <w:lastRenderedPageBreak/>
        <w:t>fertility or reproductive function. Sperm motility was decreased and changes in sperm morphology occurred at 250 mg/kg/day (approximately 5-times the human exposure at 1,500 mg/day).</w:t>
      </w:r>
    </w:p>
    <w:p w14:paraId="1378ECFF" w14:textId="77777777" w:rsidR="00ED1831" w:rsidRPr="00ED1831" w:rsidRDefault="00ED1831" w:rsidP="00ED1831">
      <w:pPr>
        <w:spacing w:before="480"/>
        <w:outlineLvl w:val="0"/>
        <w:rPr>
          <w:rFonts w:ascii="Times New Roman" w:eastAsia="Times New Roman" w:hAnsi="Times New Roman" w:cs="Times New Roman"/>
          <w:b/>
          <w:bCs/>
          <w:color w:val="000000"/>
          <w:kern w:val="36"/>
        </w:rPr>
      </w:pPr>
      <w:bookmarkStart w:id="156" w:name="S14"/>
      <w:bookmarkStart w:id="157" w:name="section-12"/>
      <w:bookmarkEnd w:id="156"/>
      <w:bookmarkEnd w:id="157"/>
      <w:r w:rsidRPr="00ED1831">
        <w:rPr>
          <w:rFonts w:ascii="Times New Roman" w:eastAsia="Times New Roman" w:hAnsi="Times New Roman" w:cs="Times New Roman"/>
          <w:b/>
          <w:bCs/>
          <w:color w:val="000000"/>
          <w:kern w:val="36"/>
        </w:rPr>
        <w:t>14 CLINICAL STUDIES</w:t>
      </w:r>
    </w:p>
    <w:p w14:paraId="2128AECE"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158" w:name="S14.1"/>
      <w:bookmarkStart w:id="159" w:name="section-12.1"/>
      <w:bookmarkEnd w:id="158"/>
      <w:bookmarkEnd w:id="159"/>
      <w:r w:rsidRPr="00ED1831">
        <w:rPr>
          <w:rFonts w:ascii="Times New Roman" w:eastAsia="Times New Roman" w:hAnsi="Times New Roman" w:cs="Times New Roman"/>
          <w:b/>
          <w:bCs/>
          <w:color w:val="000000"/>
        </w:rPr>
        <w:t>14.1 Adults and Pediatric Patients 12 Years and Older</w:t>
      </w:r>
    </w:p>
    <w:p w14:paraId="30C6E935"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The efficacy and safety of OXBRYTA in SCD was evaluated in HOPE, a Phase 3 randomized, double-blind, placebo-controlled, multicenter trial [NCT 03036813]. In this study, 274 patients were randomized to daily oral administration of OXBRYTA 1,500 mg (N=90), OXBRYTA 900 mg (N=92), or placebo (N=92). Patients were included if they had from 1 to 10 </w:t>
      </w:r>
      <w:proofErr w:type="spellStart"/>
      <w:r w:rsidRPr="00ED1831">
        <w:rPr>
          <w:rFonts w:ascii="Times New Roman" w:eastAsia="Times New Roman" w:hAnsi="Times New Roman" w:cs="Times New Roman"/>
          <w:color w:val="000000"/>
        </w:rPr>
        <w:t>vasoocclusive</w:t>
      </w:r>
      <w:proofErr w:type="spellEnd"/>
      <w:r w:rsidRPr="00ED1831">
        <w:rPr>
          <w:rFonts w:ascii="Times New Roman" w:eastAsia="Times New Roman" w:hAnsi="Times New Roman" w:cs="Times New Roman"/>
          <w:color w:val="000000"/>
        </w:rPr>
        <w:t xml:space="preserve"> crisis (VOC) events within 12 months prior to enrollment and baseline hemoglobin (Hb) ≥5.5 to ≤10.5 g/dL. Eligible patients on stable doses of hydroxyurea for at least 90 days were allowed to continue hydroxyurea therapy throughout the study. Randomization was stratified by patients already receiving hydroxyurea (yes, no), geographic region (North America, Europe, Other), and age (12 to &lt;17 years, 18 to 65 years). The trial excluded patients who received red blood cell (RBC) transfusions within 60 days and erythropoietin within 28 days of enrollment, had renal insufficiency, uncontrolled liver disease, were pregnant, or lactating.</w:t>
      </w:r>
    </w:p>
    <w:p w14:paraId="59ED5DF6" w14:textId="77777777" w:rsidR="00ED1831" w:rsidRPr="00ED1831" w:rsidRDefault="00ED1831" w:rsidP="00ED1831">
      <w:pPr>
        <w:spacing w:before="144"/>
        <w:rPr>
          <w:rFonts w:ascii="Times New Roman" w:eastAsia="Times New Roman" w:hAnsi="Times New Roman" w:cs="Times New Roman"/>
          <w:color w:val="000000"/>
        </w:rPr>
      </w:pPr>
      <w:proofErr w:type="gramStart"/>
      <w:r w:rsidRPr="00ED1831">
        <w:rPr>
          <w:rFonts w:ascii="Times New Roman" w:eastAsia="Times New Roman" w:hAnsi="Times New Roman" w:cs="Times New Roman"/>
          <w:color w:val="000000"/>
        </w:rPr>
        <w:t>The majority of</w:t>
      </w:r>
      <w:proofErr w:type="gramEnd"/>
      <w:r w:rsidRPr="00ED1831">
        <w:rPr>
          <w:rFonts w:ascii="Times New Roman" w:eastAsia="Times New Roman" w:hAnsi="Times New Roman" w:cs="Times New Roman"/>
          <w:color w:val="000000"/>
        </w:rPr>
        <w:t xml:space="preserve"> patients had </w:t>
      </w:r>
      <w:proofErr w:type="spellStart"/>
      <w:r w:rsidRPr="00ED1831">
        <w:rPr>
          <w:rFonts w:ascii="Times New Roman" w:eastAsia="Times New Roman" w:hAnsi="Times New Roman" w:cs="Times New Roman"/>
          <w:color w:val="000000"/>
        </w:rPr>
        <w:t>HbSS</w:t>
      </w:r>
      <w:proofErr w:type="spellEnd"/>
      <w:r w:rsidRPr="00ED1831">
        <w:rPr>
          <w:rFonts w:ascii="Times New Roman" w:eastAsia="Times New Roman" w:hAnsi="Times New Roman" w:cs="Times New Roman"/>
          <w:color w:val="000000"/>
        </w:rPr>
        <w:t xml:space="preserve"> or </w:t>
      </w:r>
      <w:proofErr w:type="spellStart"/>
      <w:r w:rsidRPr="00ED1831">
        <w:rPr>
          <w:rFonts w:ascii="Times New Roman" w:eastAsia="Times New Roman" w:hAnsi="Times New Roman" w:cs="Times New Roman"/>
          <w:color w:val="000000"/>
        </w:rPr>
        <w:t>HbS</w:t>
      </w:r>
      <w:proofErr w:type="spellEnd"/>
      <w:r w:rsidRPr="00ED1831">
        <w:rPr>
          <w:rFonts w:ascii="Times New Roman" w:eastAsia="Times New Roman" w:hAnsi="Times New Roman" w:cs="Times New Roman"/>
          <w:color w:val="000000"/>
        </w:rPr>
        <w:t>/beta</w:t>
      </w:r>
      <w:r w:rsidRPr="00ED1831">
        <w:rPr>
          <w:rFonts w:ascii="Times New Roman" w:eastAsia="Times New Roman" w:hAnsi="Times New Roman" w:cs="Times New Roman"/>
          <w:color w:val="000000"/>
          <w:sz w:val="19"/>
          <w:szCs w:val="19"/>
        </w:rPr>
        <w:t>0</w:t>
      </w:r>
      <w:r w:rsidRPr="00ED1831">
        <w:rPr>
          <w:rFonts w:ascii="Times New Roman" w:eastAsia="Times New Roman" w:hAnsi="Times New Roman" w:cs="Times New Roman"/>
          <w:color w:val="000000"/>
        </w:rPr>
        <w:t>-thalassemia genotype (90%) and were receiving background hydroxyurea therapy (65%). The median age was 24 years (range: 12 to 64 years); 46 (17%) patients were 12 to &lt;17 years. Median baseline Hb was 8.5 g/dL (5.9 to 10.8 g/dL). One hundred and fifteen (42%) had 1 VOC event and 159 (58%) had 2 to 10 events within 12 months prior to enrollment. In the OXBRYTA 1,500 mg group, 63 (70%) patients completed the study through Week 72.</w:t>
      </w:r>
    </w:p>
    <w:p w14:paraId="023A79B1"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Efficacy was based on Hb response rate defined as a Hb increase of &gt;1 g/dL from baseline to Week 24 in patients treated with OXBRYTA 1,500 mg versus placebo. The response rate for OXBRYTA 1,500 mg was 51.1% (46/90) compared to 6.5% (6/92) in the placebo group (p &lt; 0.001). No outlier subgroups were observed. The distribution of Hb change from baseline for individual patients completing 24 weeks of treatment with OXBRYTA 1,500 mg or placebo is depicted in Figure 1.</w:t>
      </w:r>
    </w:p>
    <w:tbl>
      <w:tblPr>
        <w:tblW w:w="3750" w:type="pct"/>
        <w:tblCellMar>
          <w:top w:w="15" w:type="dxa"/>
          <w:left w:w="15" w:type="dxa"/>
          <w:bottom w:w="15" w:type="dxa"/>
          <w:right w:w="15" w:type="dxa"/>
        </w:tblCellMar>
        <w:tblLook w:val="04A0" w:firstRow="1" w:lastRow="0" w:firstColumn="1" w:lastColumn="0" w:noHBand="0" w:noVBand="1"/>
      </w:tblPr>
      <w:tblGrid>
        <w:gridCol w:w="9360"/>
      </w:tblGrid>
      <w:tr w:rsidR="00ED1831" w:rsidRPr="00ED1831" w14:paraId="1E3AFA00" w14:textId="77777777" w:rsidTr="00ED1831">
        <w:tc>
          <w:tcPr>
            <w:tcW w:w="0" w:type="auto"/>
            <w:tcBorders>
              <w:top w:val="nil"/>
              <w:left w:val="nil"/>
              <w:bottom w:val="nil"/>
              <w:right w:val="nil"/>
            </w:tcBorders>
            <w:vAlign w:val="center"/>
            <w:hideMark/>
          </w:tcPr>
          <w:bookmarkStart w:id="160" w:name="footnote-5"/>
          <w:p w14:paraId="185B2E2E" w14:textId="77777777" w:rsidR="00ED1831" w:rsidRPr="00ED1831" w:rsidRDefault="00ED1831" w:rsidP="00ED1831">
            <w:pPr>
              <w:rPr>
                <w:rFonts w:ascii="Times New Roman" w:eastAsia="Times New Roman" w:hAnsi="Times New Roman" w:cs="Times New Roman"/>
                <w:sz w:val="22"/>
                <w:szCs w:val="22"/>
              </w:rPr>
            </w:pPr>
            <w:r w:rsidRPr="00ED1831">
              <w:rPr>
                <w:rFonts w:ascii="Times New Roman" w:eastAsia="Times New Roman" w:hAnsi="Times New Roman" w:cs="Times New Roman"/>
                <w:sz w:val="22"/>
                <w:szCs w:val="22"/>
              </w:rPr>
              <w:fldChar w:fldCharType="begin"/>
            </w:r>
            <w:r w:rsidRPr="00ED1831">
              <w:rPr>
                <w:rFonts w:ascii="Times New Roman" w:eastAsia="Times New Roman" w:hAnsi="Times New Roman" w:cs="Times New Roman"/>
                <w:sz w:val="22"/>
                <w:szCs w:val="22"/>
              </w:rPr>
              <w:instrText>HYPERLINK "https://labeling.pfizer.com/ShowLabeling.aspx?id=19593" \l "footnote-reference-5"</w:instrText>
            </w:r>
            <w:r w:rsidRPr="00ED1831">
              <w:rPr>
                <w:rFonts w:ascii="Times New Roman" w:eastAsia="Times New Roman" w:hAnsi="Times New Roman" w:cs="Times New Roman"/>
                <w:sz w:val="22"/>
                <w:szCs w:val="22"/>
              </w:rPr>
            </w:r>
            <w:r w:rsidRPr="00ED1831">
              <w:rPr>
                <w:rFonts w:ascii="Times New Roman" w:eastAsia="Times New Roman" w:hAnsi="Times New Roman" w:cs="Times New Roman"/>
                <w:sz w:val="22"/>
                <w:szCs w:val="22"/>
              </w:rPr>
              <w:fldChar w:fldCharType="separate"/>
            </w:r>
            <w:r w:rsidRPr="00ED1831">
              <w:rPr>
                <w:rFonts w:ascii="Times New Roman" w:eastAsia="Times New Roman" w:hAnsi="Times New Roman" w:cs="Times New Roman"/>
                <w:color w:val="0000FF"/>
                <w:sz w:val="22"/>
                <w:szCs w:val="22"/>
                <w:u w:val="single"/>
              </w:rPr>
              <w:t>*</w:t>
            </w:r>
            <w:r w:rsidRPr="00ED1831">
              <w:rPr>
                <w:rFonts w:ascii="Times New Roman" w:eastAsia="Times New Roman" w:hAnsi="Times New Roman" w:cs="Times New Roman"/>
                <w:sz w:val="22"/>
                <w:szCs w:val="22"/>
              </w:rPr>
              <w:fldChar w:fldCharType="end"/>
            </w:r>
            <w:bookmarkEnd w:id="160"/>
          </w:p>
          <w:p w14:paraId="7D075B00" w14:textId="77777777" w:rsidR="00ED1831" w:rsidRPr="00ED1831" w:rsidRDefault="00ED1831" w:rsidP="00ED1831">
            <w:pPr>
              <w:ind w:left="720"/>
              <w:rPr>
                <w:rFonts w:ascii="Times New Roman" w:eastAsia="Times New Roman" w:hAnsi="Times New Roman" w:cs="Times New Roman"/>
                <w:sz w:val="22"/>
                <w:szCs w:val="22"/>
              </w:rPr>
            </w:pPr>
            <w:r w:rsidRPr="00ED1831">
              <w:rPr>
                <w:rFonts w:ascii="Times New Roman" w:eastAsia="Times New Roman" w:hAnsi="Times New Roman" w:cs="Times New Roman"/>
                <w:sz w:val="22"/>
                <w:szCs w:val="22"/>
              </w:rPr>
              <w:t>Approximately 83% of all randomized patients completed 24 weeks of treatment.</w:t>
            </w:r>
          </w:p>
        </w:tc>
      </w:tr>
      <w:tr w:rsidR="00ED1831" w:rsidRPr="00ED1831" w14:paraId="2061D1A6" w14:textId="77777777" w:rsidTr="00ED1831">
        <w:tc>
          <w:tcPr>
            <w:tcW w:w="0" w:type="auto"/>
            <w:tcBorders>
              <w:top w:val="nil"/>
              <w:left w:val="nil"/>
              <w:bottom w:val="nil"/>
              <w:right w:val="nil"/>
            </w:tcBorders>
            <w:hideMark/>
          </w:tcPr>
          <w:p w14:paraId="57959429"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Figure 1: Subject-level Change from Baseline in Hemoglobin at Week 24 in Patients Who Completed 24 Weeks of Treatment</w:t>
            </w:r>
            <w:bookmarkStart w:id="161" w:name="footnote-reference-5"/>
            <w:r w:rsidRPr="00ED1831">
              <w:rPr>
                <w:rFonts w:ascii="Times New Roman" w:eastAsia="Times New Roman" w:hAnsi="Times New Roman" w:cs="Times New Roman"/>
              </w:rPr>
              <w:fldChar w:fldCharType="begin"/>
            </w:r>
            <w:r w:rsidRPr="00ED1831">
              <w:rPr>
                <w:rFonts w:ascii="Times New Roman" w:eastAsia="Times New Roman" w:hAnsi="Times New Roman" w:cs="Times New Roman"/>
              </w:rPr>
              <w:instrText>HYPERLINK "https://labeling.pfizer.com/ShowLabeling.aspx?id=19593" \l "footnote-5"</w:instrText>
            </w:r>
            <w:r w:rsidRPr="00ED1831">
              <w:rPr>
                <w:rFonts w:ascii="Times New Roman" w:eastAsia="Times New Roman" w:hAnsi="Times New Roman" w:cs="Times New Roman"/>
              </w:rPr>
            </w:r>
            <w:r w:rsidRPr="00ED1831">
              <w:rPr>
                <w:rFonts w:ascii="Times New Roman" w:eastAsia="Times New Roman" w:hAnsi="Times New Roman" w:cs="Times New Roman"/>
              </w:rPr>
              <w:fldChar w:fldCharType="separate"/>
            </w:r>
            <w:r w:rsidRPr="00ED1831">
              <w:rPr>
                <w:rFonts w:ascii="Times New Roman" w:eastAsia="Times New Roman" w:hAnsi="Times New Roman" w:cs="Times New Roman"/>
                <w:color w:val="0000FF"/>
                <w:sz w:val="19"/>
                <w:szCs w:val="19"/>
                <w:u w:val="single"/>
              </w:rPr>
              <w:t>*</w:t>
            </w:r>
            <w:r w:rsidRPr="00ED1831">
              <w:rPr>
                <w:rFonts w:ascii="Times New Roman" w:eastAsia="Times New Roman" w:hAnsi="Times New Roman" w:cs="Times New Roman"/>
              </w:rPr>
              <w:fldChar w:fldCharType="end"/>
            </w:r>
            <w:bookmarkEnd w:id="161"/>
          </w:p>
        </w:tc>
      </w:tr>
      <w:bookmarkStart w:id="162" w:name="id1562"/>
      <w:bookmarkEnd w:id="162"/>
      <w:tr w:rsidR="00ED1831" w:rsidRPr="00ED1831" w14:paraId="1E5B8EBA" w14:textId="77777777" w:rsidTr="00ED1831">
        <w:tc>
          <w:tcPr>
            <w:tcW w:w="0" w:type="auto"/>
            <w:tcBorders>
              <w:top w:val="nil"/>
              <w:left w:val="nil"/>
              <w:bottom w:val="nil"/>
              <w:right w:val="nil"/>
            </w:tcBorders>
            <w:hideMark/>
          </w:tcPr>
          <w:p w14:paraId="63B47E3B" w14:textId="27337841"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lastRenderedPageBreak/>
              <w:fldChar w:fldCharType="begin"/>
            </w:r>
            <w:r w:rsidRPr="00ED1831">
              <w:rPr>
                <w:rFonts w:ascii="Times New Roman" w:eastAsia="Times New Roman" w:hAnsi="Times New Roman" w:cs="Times New Roman"/>
              </w:rPr>
              <w:instrText xml:space="preserve"> INCLUDEPICTURE "https://labeling.pfizer.com/ImageHandler.ashx?id=18757" \* MERGEFORMATINET </w:instrText>
            </w:r>
            <w:r w:rsidRPr="00ED1831">
              <w:rPr>
                <w:rFonts w:ascii="Times New Roman" w:eastAsia="Times New Roman" w:hAnsi="Times New Roman" w:cs="Times New Roman"/>
              </w:rPr>
              <w:fldChar w:fldCharType="separate"/>
            </w:r>
            <w:r w:rsidRPr="00ED1831">
              <w:rPr>
                <w:rFonts w:ascii="Times New Roman" w:eastAsia="Times New Roman" w:hAnsi="Times New Roman" w:cs="Times New Roman"/>
                <w:noProof/>
              </w:rPr>
              <w:drawing>
                <wp:inline distT="0" distB="0" distL="0" distR="0" wp14:anchorId="060DA22C" wp14:editId="24DC0188">
                  <wp:extent cx="5943600" cy="3808730"/>
                  <wp:effectExtent l="0" t="0" r="0" b="1270"/>
                  <wp:docPr id="1276542451" name="Picture 11" descr="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1"/>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943600" cy="3808730"/>
                          </a:xfrm>
                          <a:prstGeom prst="rect">
                            <a:avLst/>
                          </a:prstGeom>
                          <a:noFill/>
                          <a:ln>
                            <a:noFill/>
                          </a:ln>
                        </pic:spPr>
                      </pic:pic>
                    </a:graphicData>
                  </a:graphic>
                </wp:inline>
              </w:drawing>
            </w:r>
            <w:r w:rsidRPr="00ED1831">
              <w:rPr>
                <w:rFonts w:ascii="Times New Roman" w:eastAsia="Times New Roman" w:hAnsi="Times New Roman" w:cs="Times New Roman"/>
              </w:rPr>
              <w:fldChar w:fldCharType="end"/>
            </w:r>
          </w:p>
        </w:tc>
      </w:tr>
    </w:tbl>
    <w:p w14:paraId="397F41A0"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Additional efficacy evaluation included change in Hb and percent change in indirect bilirubin and percent reticulocyte count from baseline to Week 24 (Table 6).</w:t>
      </w:r>
    </w:p>
    <w:tbl>
      <w:tblPr>
        <w:tblW w:w="3750" w:type="pct"/>
        <w:tblCellMar>
          <w:top w:w="15" w:type="dxa"/>
          <w:left w:w="15" w:type="dxa"/>
          <w:bottom w:w="15" w:type="dxa"/>
          <w:right w:w="15" w:type="dxa"/>
        </w:tblCellMar>
        <w:tblLook w:val="04A0" w:firstRow="1" w:lastRow="0" w:firstColumn="1" w:lastColumn="0" w:noHBand="0" w:noVBand="1"/>
      </w:tblPr>
      <w:tblGrid>
        <w:gridCol w:w="2505"/>
        <w:gridCol w:w="2472"/>
        <w:gridCol w:w="1111"/>
        <w:gridCol w:w="932"/>
      </w:tblGrid>
      <w:tr w:rsidR="00ED1831" w:rsidRPr="00ED1831" w14:paraId="02254F70" w14:textId="77777777" w:rsidTr="00ED1831">
        <w:trPr>
          <w:tblHeader/>
        </w:trPr>
        <w:tc>
          <w:tcPr>
            <w:tcW w:w="0" w:type="auto"/>
            <w:gridSpan w:val="4"/>
            <w:tcBorders>
              <w:top w:val="nil"/>
              <w:left w:val="nil"/>
              <w:bottom w:val="nil"/>
              <w:right w:val="nil"/>
            </w:tcBorders>
            <w:vAlign w:val="center"/>
            <w:hideMark/>
          </w:tcPr>
          <w:p w14:paraId="6205589C" w14:textId="77777777" w:rsidR="00ED1831" w:rsidRPr="00ED1831" w:rsidRDefault="00ED1831" w:rsidP="00ED1831">
            <w:pPr>
              <w:spacing w:before="150" w:after="360"/>
              <w:jc w:val="center"/>
              <w:rPr>
                <w:rFonts w:ascii="Times New Roman" w:eastAsia="Times New Roman" w:hAnsi="Times New Roman" w:cs="Times New Roman"/>
                <w:b/>
                <w:bCs/>
              </w:rPr>
            </w:pPr>
            <w:bookmarkStart w:id="163" w:name="_Reftable6"/>
            <w:bookmarkEnd w:id="163"/>
            <w:r w:rsidRPr="00ED1831">
              <w:rPr>
                <w:rFonts w:ascii="Times New Roman" w:eastAsia="Times New Roman" w:hAnsi="Times New Roman" w:cs="Times New Roman"/>
                <w:b/>
                <w:bCs/>
              </w:rPr>
              <w:t>Table 6: Adjusted Mean (SE) Change from Baseline to Week 24 in Hemoglobin and Clinical Measures of Hemolysis</w:t>
            </w:r>
          </w:p>
        </w:tc>
      </w:tr>
      <w:tr w:rsidR="00ED1831" w:rsidRPr="00ED1831" w14:paraId="2B8FD8FD" w14:textId="77777777" w:rsidTr="00ED1831">
        <w:trPr>
          <w:tblHeader/>
        </w:trPr>
        <w:tc>
          <w:tcPr>
            <w:tcW w:w="0" w:type="auto"/>
            <w:tcBorders>
              <w:top w:val="single" w:sz="6" w:space="0" w:color="000000"/>
              <w:left w:val="single" w:sz="6" w:space="0" w:color="000000"/>
              <w:bottom w:val="single" w:sz="6" w:space="0" w:color="000000"/>
              <w:right w:val="single" w:sz="6" w:space="0" w:color="000000"/>
            </w:tcBorders>
            <w:hideMark/>
          </w:tcPr>
          <w:p w14:paraId="6C652B57" w14:textId="77777777" w:rsidR="00ED1831" w:rsidRPr="00ED1831" w:rsidRDefault="00ED1831" w:rsidP="00ED1831">
            <w:pPr>
              <w:spacing w:before="150" w:after="360"/>
              <w:jc w:val="center"/>
              <w:rPr>
                <w:rFonts w:ascii="Times New Roman" w:eastAsia="Times New Roman" w:hAnsi="Times New Roman" w:cs="Times New Roman"/>
                <w:b/>
                <w:bCs/>
              </w:rPr>
            </w:pP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003C9688" w14:textId="77777777" w:rsidR="00ED1831" w:rsidRPr="00ED1831" w:rsidRDefault="00ED1831" w:rsidP="00ED1831">
            <w:pPr>
              <w:spacing w:after="360"/>
              <w:jc w:val="center"/>
              <w:rPr>
                <w:rFonts w:ascii="Times New Roman" w:eastAsia="Times New Roman" w:hAnsi="Times New Roman" w:cs="Times New Roman"/>
                <w:b/>
                <w:bCs/>
              </w:rPr>
            </w:pPr>
            <w:r w:rsidRPr="00ED1831">
              <w:rPr>
                <w:rFonts w:ascii="Times New Roman" w:eastAsia="Times New Roman" w:hAnsi="Times New Roman" w:cs="Times New Roman"/>
                <w:b/>
                <w:bCs/>
              </w:rPr>
              <w:t>OXBRYTA 1,500 mg QD</w:t>
            </w:r>
            <w:r w:rsidRPr="00ED1831">
              <w:rPr>
                <w:rFonts w:ascii="Times New Roman" w:eastAsia="Times New Roman" w:hAnsi="Times New Roman" w:cs="Times New Roman"/>
                <w:b/>
                <w:bCs/>
              </w:rPr>
              <w:br/>
              <w:t>(N=90)</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2F67956E" w14:textId="77777777" w:rsidR="00ED1831" w:rsidRPr="00ED1831" w:rsidRDefault="00ED1831" w:rsidP="00ED1831">
            <w:pPr>
              <w:spacing w:after="360"/>
              <w:jc w:val="center"/>
              <w:rPr>
                <w:rFonts w:ascii="Times New Roman" w:eastAsia="Times New Roman" w:hAnsi="Times New Roman" w:cs="Times New Roman"/>
                <w:b/>
                <w:bCs/>
              </w:rPr>
            </w:pPr>
            <w:r w:rsidRPr="00ED1831">
              <w:rPr>
                <w:rFonts w:ascii="Times New Roman" w:eastAsia="Times New Roman" w:hAnsi="Times New Roman" w:cs="Times New Roman"/>
                <w:b/>
                <w:bCs/>
              </w:rPr>
              <w:t>Placebo</w:t>
            </w:r>
            <w:r w:rsidRPr="00ED1831">
              <w:rPr>
                <w:rFonts w:ascii="Times New Roman" w:eastAsia="Times New Roman" w:hAnsi="Times New Roman" w:cs="Times New Roman"/>
                <w:b/>
                <w:bCs/>
              </w:rPr>
              <w:br/>
              <w:t>(N=92)</w:t>
            </w:r>
          </w:p>
        </w:tc>
        <w:tc>
          <w:tcPr>
            <w:tcW w:w="0" w:type="auto"/>
            <w:tcBorders>
              <w:top w:val="single" w:sz="6" w:space="0" w:color="000000"/>
              <w:left w:val="single" w:sz="6" w:space="0" w:color="000000"/>
              <w:bottom w:val="single" w:sz="6" w:space="0" w:color="000000"/>
              <w:right w:val="single" w:sz="6" w:space="0" w:color="000000"/>
            </w:tcBorders>
            <w:vAlign w:val="bottom"/>
            <w:hideMark/>
          </w:tcPr>
          <w:p w14:paraId="33DC7561" w14:textId="77777777" w:rsidR="00ED1831" w:rsidRPr="00ED1831" w:rsidRDefault="00ED1831" w:rsidP="00ED1831">
            <w:pPr>
              <w:spacing w:after="360"/>
              <w:jc w:val="center"/>
              <w:rPr>
                <w:rFonts w:ascii="Times New Roman" w:eastAsia="Times New Roman" w:hAnsi="Times New Roman" w:cs="Times New Roman"/>
                <w:b/>
                <w:bCs/>
              </w:rPr>
            </w:pPr>
            <w:r w:rsidRPr="00ED1831">
              <w:rPr>
                <w:rFonts w:ascii="Times New Roman" w:eastAsia="Times New Roman" w:hAnsi="Times New Roman" w:cs="Times New Roman"/>
                <w:b/>
                <w:bCs/>
              </w:rPr>
              <w:t>P Value</w:t>
            </w:r>
          </w:p>
        </w:tc>
      </w:tr>
      <w:tr w:rsidR="00ED1831" w:rsidRPr="00ED1831" w14:paraId="13682CC3" w14:textId="77777777" w:rsidTr="00ED1831">
        <w:tc>
          <w:tcPr>
            <w:tcW w:w="0" w:type="auto"/>
            <w:gridSpan w:val="4"/>
            <w:tcBorders>
              <w:top w:val="nil"/>
              <w:left w:val="nil"/>
              <w:bottom w:val="nil"/>
              <w:right w:val="nil"/>
            </w:tcBorders>
            <w:hideMark/>
          </w:tcPr>
          <w:p w14:paraId="48843814" w14:textId="77777777" w:rsidR="00ED1831" w:rsidRPr="00ED1831" w:rsidRDefault="00ED1831" w:rsidP="00ED1831">
            <w:pPr>
              <w:spacing w:after="360"/>
              <w:rPr>
                <w:rFonts w:ascii="Times New Roman" w:eastAsia="Times New Roman" w:hAnsi="Times New Roman" w:cs="Times New Roman"/>
              </w:rPr>
            </w:pPr>
            <w:r w:rsidRPr="00ED1831">
              <w:rPr>
                <w:rFonts w:ascii="Times New Roman" w:eastAsia="Times New Roman" w:hAnsi="Times New Roman" w:cs="Times New Roman"/>
              </w:rPr>
              <w:t>QD = once daily; SE = standard error</w:t>
            </w:r>
          </w:p>
        </w:tc>
      </w:tr>
      <w:tr w:rsidR="00ED1831" w:rsidRPr="00ED1831" w14:paraId="2D10166E" w14:textId="77777777" w:rsidTr="00ED1831">
        <w:tc>
          <w:tcPr>
            <w:tcW w:w="0" w:type="auto"/>
            <w:tcBorders>
              <w:top w:val="nil"/>
              <w:left w:val="single" w:sz="6" w:space="0" w:color="000000"/>
              <w:bottom w:val="single" w:sz="6" w:space="0" w:color="000000"/>
              <w:right w:val="single" w:sz="6" w:space="0" w:color="000000"/>
            </w:tcBorders>
            <w:hideMark/>
          </w:tcPr>
          <w:p w14:paraId="1E89F1FC"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Hemoglobin</w:t>
            </w:r>
          </w:p>
        </w:tc>
        <w:tc>
          <w:tcPr>
            <w:tcW w:w="0" w:type="auto"/>
            <w:tcBorders>
              <w:top w:val="single" w:sz="6" w:space="0" w:color="000000"/>
              <w:left w:val="single" w:sz="6" w:space="0" w:color="000000"/>
              <w:bottom w:val="single" w:sz="6" w:space="0" w:color="000000"/>
              <w:right w:val="single" w:sz="6" w:space="0" w:color="000000"/>
            </w:tcBorders>
            <w:hideMark/>
          </w:tcPr>
          <w:p w14:paraId="2D150C6B"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1.1 g/dL</w:t>
            </w:r>
            <w:r w:rsidRPr="00ED1831">
              <w:rPr>
                <w:rFonts w:ascii="Times New Roman" w:eastAsia="Times New Roman" w:hAnsi="Times New Roman" w:cs="Times New Roman"/>
              </w:rPr>
              <w:br/>
              <w:t>(0.1)</w:t>
            </w:r>
          </w:p>
        </w:tc>
        <w:tc>
          <w:tcPr>
            <w:tcW w:w="0" w:type="auto"/>
            <w:tcBorders>
              <w:top w:val="single" w:sz="6" w:space="0" w:color="000000"/>
              <w:left w:val="single" w:sz="6" w:space="0" w:color="000000"/>
              <w:bottom w:val="single" w:sz="6" w:space="0" w:color="000000"/>
              <w:right w:val="single" w:sz="6" w:space="0" w:color="000000"/>
            </w:tcBorders>
            <w:hideMark/>
          </w:tcPr>
          <w:p w14:paraId="1B8A1D5F"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-0.1 g/dL</w:t>
            </w:r>
            <w:r w:rsidRPr="00ED1831">
              <w:rPr>
                <w:rFonts w:ascii="Times New Roman" w:eastAsia="Times New Roman" w:hAnsi="Times New Roman" w:cs="Times New Roman"/>
              </w:rPr>
              <w:br/>
              <w:t>(0.1)</w:t>
            </w:r>
          </w:p>
        </w:tc>
        <w:tc>
          <w:tcPr>
            <w:tcW w:w="0" w:type="auto"/>
            <w:tcBorders>
              <w:top w:val="single" w:sz="6" w:space="0" w:color="000000"/>
              <w:left w:val="single" w:sz="6" w:space="0" w:color="000000"/>
              <w:bottom w:val="single" w:sz="6" w:space="0" w:color="000000"/>
              <w:right w:val="single" w:sz="6" w:space="0" w:color="000000"/>
            </w:tcBorders>
            <w:hideMark/>
          </w:tcPr>
          <w:p w14:paraId="1C957757"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&lt; 0.001</w:t>
            </w:r>
          </w:p>
        </w:tc>
      </w:tr>
      <w:tr w:rsidR="00ED1831" w:rsidRPr="00ED1831" w14:paraId="4C64C56D" w14:textId="77777777" w:rsidTr="00ED1831">
        <w:tc>
          <w:tcPr>
            <w:tcW w:w="0" w:type="auto"/>
            <w:tcBorders>
              <w:top w:val="nil"/>
              <w:left w:val="single" w:sz="6" w:space="0" w:color="000000"/>
              <w:bottom w:val="single" w:sz="6" w:space="0" w:color="000000"/>
              <w:right w:val="single" w:sz="6" w:space="0" w:color="000000"/>
            </w:tcBorders>
            <w:hideMark/>
          </w:tcPr>
          <w:p w14:paraId="5D393AEC"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Indirect Bilirubin</w:t>
            </w:r>
          </w:p>
        </w:tc>
        <w:tc>
          <w:tcPr>
            <w:tcW w:w="0" w:type="auto"/>
            <w:tcBorders>
              <w:top w:val="single" w:sz="6" w:space="0" w:color="000000"/>
              <w:left w:val="single" w:sz="6" w:space="0" w:color="000000"/>
              <w:bottom w:val="single" w:sz="6" w:space="0" w:color="000000"/>
              <w:right w:val="single" w:sz="6" w:space="0" w:color="000000"/>
            </w:tcBorders>
            <w:hideMark/>
          </w:tcPr>
          <w:p w14:paraId="77965C14"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-29.1%</w:t>
            </w:r>
            <w:r w:rsidRPr="00ED1831">
              <w:rPr>
                <w:rFonts w:ascii="Times New Roman" w:eastAsia="Times New Roman" w:hAnsi="Times New Roman" w:cs="Times New Roman"/>
              </w:rPr>
              <w:br/>
              <w:t>(3.5)</w:t>
            </w:r>
          </w:p>
        </w:tc>
        <w:tc>
          <w:tcPr>
            <w:tcW w:w="0" w:type="auto"/>
            <w:tcBorders>
              <w:top w:val="single" w:sz="6" w:space="0" w:color="000000"/>
              <w:left w:val="single" w:sz="6" w:space="0" w:color="000000"/>
              <w:bottom w:val="single" w:sz="6" w:space="0" w:color="000000"/>
              <w:right w:val="single" w:sz="6" w:space="0" w:color="000000"/>
            </w:tcBorders>
            <w:hideMark/>
          </w:tcPr>
          <w:p w14:paraId="5E575E21"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-2.8%</w:t>
            </w:r>
            <w:r w:rsidRPr="00ED1831">
              <w:rPr>
                <w:rFonts w:ascii="Times New Roman" w:eastAsia="Times New Roman" w:hAnsi="Times New Roman" w:cs="Times New Roman"/>
              </w:rPr>
              <w:br/>
              <w:t>(3.5)</w:t>
            </w:r>
          </w:p>
        </w:tc>
        <w:tc>
          <w:tcPr>
            <w:tcW w:w="0" w:type="auto"/>
            <w:tcBorders>
              <w:top w:val="single" w:sz="6" w:space="0" w:color="000000"/>
              <w:left w:val="single" w:sz="6" w:space="0" w:color="000000"/>
              <w:bottom w:val="single" w:sz="6" w:space="0" w:color="000000"/>
              <w:right w:val="single" w:sz="6" w:space="0" w:color="000000"/>
            </w:tcBorders>
            <w:hideMark/>
          </w:tcPr>
          <w:p w14:paraId="58C3035C"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&lt; 0.001</w:t>
            </w:r>
          </w:p>
        </w:tc>
      </w:tr>
      <w:tr w:rsidR="00ED1831" w:rsidRPr="00ED1831" w14:paraId="4F748A17" w14:textId="77777777" w:rsidTr="00ED1831">
        <w:tc>
          <w:tcPr>
            <w:tcW w:w="0" w:type="auto"/>
            <w:tcBorders>
              <w:top w:val="single" w:sz="6" w:space="0" w:color="000000"/>
              <w:left w:val="single" w:sz="6" w:space="0" w:color="000000"/>
              <w:bottom w:val="single" w:sz="6" w:space="0" w:color="000000"/>
              <w:right w:val="single" w:sz="6" w:space="0" w:color="000000"/>
            </w:tcBorders>
            <w:hideMark/>
          </w:tcPr>
          <w:p w14:paraId="50F6BABE"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Percent Reticulocyte Count</w:t>
            </w:r>
          </w:p>
        </w:tc>
        <w:tc>
          <w:tcPr>
            <w:tcW w:w="0" w:type="auto"/>
            <w:tcBorders>
              <w:top w:val="single" w:sz="6" w:space="0" w:color="000000"/>
              <w:left w:val="single" w:sz="6" w:space="0" w:color="000000"/>
              <w:bottom w:val="single" w:sz="6" w:space="0" w:color="000000"/>
              <w:right w:val="single" w:sz="6" w:space="0" w:color="000000"/>
            </w:tcBorders>
            <w:hideMark/>
          </w:tcPr>
          <w:p w14:paraId="2466E431"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-18.0%</w:t>
            </w:r>
            <w:r w:rsidRPr="00ED1831">
              <w:rPr>
                <w:rFonts w:ascii="Times New Roman" w:eastAsia="Times New Roman" w:hAnsi="Times New Roman" w:cs="Times New Roman"/>
              </w:rPr>
              <w:br/>
              <w:t>(4.7)</w:t>
            </w:r>
          </w:p>
        </w:tc>
        <w:tc>
          <w:tcPr>
            <w:tcW w:w="0" w:type="auto"/>
            <w:tcBorders>
              <w:top w:val="single" w:sz="6" w:space="0" w:color="000000"/>
              <w:left w:val="single" w:sz="6" w:space="0" w:color="000000"/>
              <w:bottom w:val="single" w:sz="6" w:space="0" w:color="000000"/>
              <w:right w:val="single" w:sz="6" w:space="0" w:color="000000"/>
            </w:tcBorders>
            <w:hideMark/>
          </w:tcPr>
          <w:p w14:paraId="1A4CE520"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6.8%</w:t>
            </w:r>
            <w:r w:rsidRPr="00ED1831">
              <w:rPr>
                <w:rFonts w:ascii="Times New Roman" w:eastAsia="Times New Roman" w:hAnsi="Times New Roman" w:cs="Times New Roman"/>
              </w:rPr>
              <w:br/>
              <w:t>(4.7)</w:t>
            </w:r>
          </w:p>
        </w:tc>
        <w:tc>
          <w:tcPr>
            <w:tcW w:w="0" w:type="auto"/>
            <w:tcBorders>
              <w:top w:val="single" w:sz="6" w:space="0" w:color="000000"/>
              <w:left w:val="single" w:sz="6" w:space="0" w:color="000000"/>
              <w:bottom w:val="single" w:sz="6" w:space="0" w:color="000000"/>
              <w:right w:val="single" w:sz="6" w:space="0" w:color="000000"/>
            </w:tcBorders>
            <w:hideMark/>
          </w:tcPr>
          <w:p w14:paraId="12FEAE61"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&lt; 0.001</w:t>
            </w:r>
          </w:p>
        </w:tc>
      </w:tr>
    </w:tbl>
    <w:p w14:paraId="44E27FCD" w14:textId="77777777" w:rsidR="00ED1831" w:rsidRPr="00ED1831" w:rsidRDefault="00ED1831" w:rsidP="00ED1831">
      <w:pPr>
        <w:spacing w:before="264"/>
        <w:outlineLvl w:val="1"/>
        <w:rPr>
          <w:rFonts w:ascii="Times New Roman" w:eastAsia="Times New Roman" w:hAnsi="Times New Roman" w:cs="Times New Roman"/>
          <w:b/>
          <w:bCs/>
          <w:color w:val="000000"/>
        </w:rPr>
      </w:pPr>
      <w:bookmarkStart w:id="164" w:name="S14.2"/>
      <w:bookmarkStart w:id="165" w:name="section-12.2"/>
      <w:bookmarkEnd w:id="164"/>
      <w:bookmarkEnd w:id="165"/>
      <w:r w:rsidRPr="00ED1831">
        <w:rPr>
          <w:rFonts w:ascii="Times New Roman" w:eastAsia="Times New Roman" w:hAnsi="Times New Roman" w:cs="Times New Roman"/>
          <w:b/>
          <w:bCs/>
          <w:color w:val="000000"/>
        </w:rPr>
        <w:t>14.2 Pediatric Patients 4 to &lt;12 Years</w:t>
      </w:r>
    </w:p>
    <w:p w14:paraId="404DC772"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The efficacy and safety of OXBRYTA in patients 4 to &lt;12 years with SCD was evaluated in an open-label, multi-center, Phase 2 trial [NCT 02850406]. In this study, 45 patients 4 to &lt;12 years </w:t>
      </w:r>
      <w:r w:rsidRPr="00ED1831">
        <w:rPr>
          <w:rFonts w:ascii="Times New Roman" w:eastAsia="Times New Roman" w:hAnsi="Times New Roman" w:cs="Times New Roman"/>
          <w:color w:val="000000"/>
        </w:rPr>
        <w:lastRenderedPageBreak/>
        <w:t>and 11 patients 12 to &lt;17 years received OXBRYTA. Patients 4 to &lt;12 years received tablets for oral suspension based on body weight at baseline. OXBRYTA doses of 600 mg, 900 mg, or 1,500 mg once daily were administered to patients weighing 10 kg to &lt;20 kg, 20 kg to &lt;40 kg, or ≥40 kg, respectively. Patients 12 to &lt;17 years received OXBRYTA 1,500 mg once daily.</w:t>
      </w:r>
    </w:p>
    <w:p w14:paraId="02E93071"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Patients were included if their baseline hemoglobin (Hb) was ≤10.5 g/dL. Eligible patients on stable doses of hydroxyurea for at least 90 days were allowed to continue hydroxyurea therapy throughout the study. The trial excluded patients who had a VOC event within 14 days prior to enrollment, received red blood cell (RBC) transfusions within 30 days of enrollment, and had renal insufficiency or uncontrolled liver disease.</w:t>
      </w:r>
    </w:p>
    <w:p w14:paraId="46F4123A"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 xml:space="preserve">All patients had </w:t>
      </w:r>
      <w:proofErr w:type="spellStart"/>
      <w:r w:rsidRPr="00ED1831">
        <w:rPr>
          <w:rFonts w:ascii="Times New Roman" w:eastAsia="Times New Roman" w:hAnsi="Times New Roman" w:cs="Times New Roman"/>
          <w:color w:val="000000"/>
        </w:rPr>
        <w:t>HbSS</w:t>
      </w:r>
      <w:proofErr w:type="spellEnd"/>
      <w:r w:rsidRPr="00ED1831">
        <w:rPr>
          <w:rFonts w:ascii="Times New Roman" w:eastAsia="Times New Roman" w:hAnsi="Times New Roman" w:cs="Times New Roman"/>
          <w:color w:val="000000"/>
        </w:rPr>
        <w:t xml:space="preserve"> or </w:t>
      </w:r>
      <w:proofErr w:type="spellStart"/>
      <w:r w:rsidRPr="00ED1831">
        <w:rPr>
          <w:rFonts w:ascii="Times New Roman" w:eastAsia="Times New Roman" w:hAnsi="Times New Roman" w:cs="Times New Roman"/>
          <w:color w:val="000000"/>
        </w:rPr>
        <w:t>HbS</w:t>
      </w:r>
      <w:proofErr w:type="spellEnd"/>
      <w:r w:rsidRPr="00ED1831">
        <w:rPr>
          <w:rFonts w:ascii="Times New Roman" w:eastAsia="Times New Roman" w:hAnsi="Times New Roman" w:cs="Times New Roman"/>
          <w:color w:val="000000"/>
        </w:rPr>
        <w:t>/beta</w:t>
      </w:r>
      <w:r w:rsidRPr="00ED1831">
        <w:rPr>
          <w:rFonts w:ascii="Times New Roman" w:eastAsia="Times New Roman" w:hAnsi="Times New Roman" w:cs="Times New Roman"/>
          <w:color w:val="000000"/>
          <w:sz w:val="19"/>
          <w:szCs w:val="19"/>
        </w:rPr>
        <w:t>0</w:t>
      </w:r>
      <w:r w:rsidRPr="00ED1831">
        <w:rPr>
          <w:rFonts w:ascii="Times New Roman" w:eastAsia="Times New Roman" w:hAnsi="Times New Roman" w:cs="Times New Roman"/>
          <w:color w:val="000000"/>
        </w:rPr>
        <w:t>-thalassemia genotype (100%) and most were receiving background hydroxyurea therapy (80%). The median age was 8 years (range: 4 to 15 years); 45 (80%) patients were 4 to &lt;12 years. In this age group, mean baseline Hb was 8.6 g/dL (range: 6.1 to 10.5 g/dL).</w:t>
      </w:r>
    </w:p>
    <w:p w14:paraId="1C6C173D"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Efficacy was based on Hb response rate, which is defined as a Hb increase of &gt;1 g/dL from baseline to Week 24. Hb response rate for OXBRYTA in patients aged 4 to &lt;12 years who took at least one dose of OXBRYTA was 36% (16/45) (95% CI: 21.6%, 49.5%).</w:t>
      </w:r>
    </w:p>
    <w:p w14:paraId="79C4334F" w14:textId="77777777" w:rsidR="00ED1831" w:rsidRPr="00ED1831" w:rsidRDefault="00ED1831" w:rsidP="00ED1831">
      <w:pPr>
        <w:spacing w:before="480"/>
        <w:outlineLvl w:val="0"/>
        <w:rPr>
          <w:rFonts w:ascii="Times New Roman" w:eastAsia="Times New Roman" w:hAnsi="Times New Roman" w:cs="Times New Roman"/>
          <w:b/>
          <w:bCs/>
          <w:color w:val="000000"/>
          <w:kern w:val="36"/>
        </w:rPr>
      </w:pPr>
      <w:bookmarkStart w:id="166" w:name="S16"/>
      <w:bookmarkStart w:id="167" w:name="section-13"/>
      <w:bookmarkEnd w:id="166"/>
      <w:bookmarkEnd w:id="167"/>
      <w:r w:rsidRPr="00ED1831">
        <w:rPr>
          <w:rFonts w:ascii="Times New Roman" w:eastAsia="Times New Roman" w:hAnsi="Times New Roman" w:cs="Times New Roman"/>
          <w:b/>
          <w:bCs/>
          <w:color w:val="000000"/>
          <w:kern w:val="36"/>
        </w:rPr>
        <w:t>16 HOW SUPPLIED/STORAGE AND HANDLING</w:t>
      </w:r>
    </w:p>
    <w:p w14:paraId="76F147B8"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The 300 mg tablet is film-coated, light purple to purple, oval shaped, biconvex, debossed with "G 300" on one side, available in:</w:t>
      </w:r>
    </w:p>
    <w:p w14:paraId="21595EF3" w14:textId="77777777" w:rsidR="00ED1831" w:rsidRPr="00ED1831" w:rsidRDefault="00ED1831" w:rsidP="00ED1831">
      <w:pPr>
        <w:ind w:left="21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7C9C428D"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Bottles of 60 tablets with one desiccant canister, a polyester coil and child-resistant closure: NDC 72786-102-02</w:t>
      </w:r>
    </w:p>
    <w:p w14:paraId="11B216DC" w14:textId="77777777" w:rsidR="00ED1831" w:rsidRPr="00ED1831" w:rsidRDefault="00ED1831" w:rsidP="00ED1831">
      <w:pPr>
        <w:ind w:left="57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78239E28"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Bottles of 90 tablets with one desiccant canister, a polyester coil and child-resistant closure: NDC 72786-102-03</w:t>
      </w:r>
    </w:p>
    <w:p w14:paraId="09775321"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The 500 mg tablet is film-coated, light yellow to yellow, oval shaped, biconvex, debossed with "GBT 500" on one side, and available in:</w:t>
      </w:r>
    </w:p>
    <w:p w14:paraId="41BCD05C" w14:textId="77777777" w:rsidR="00ED1831" w:rsidRPr="00ED1831" w:rsidRDefault="00ED1831" w:rsidP="00ED1831">
      <w:pPr>
        <w:ind w:left="21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03923C2E"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Bottles of 90 tablets with one desiccant canister, a polyester coil and child-resistant closure: NDC 72786-101-01</w:t>
      </w:r>
    </w:p>
    <w:p w14:paraId="1C1B73A0"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The 300 mg tablet for oral suspension is light yellow to yellow, round shaped, debossed with "300 D" on one side, and available in:</w:t>
      </w:r>
    </w:p>
    <w:p w14:paraId="642F7C77" w14:textId="77777777" w:rsidR="00ED1831" w:rsidRPr="00ED1831" w:rsidRDefault="00ED1831" w:rsidP="00ED1831">
      <w:pPr>
        <w:ind w:left="21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0CC6DC0B"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Bottles of 60 tablets for oral suspension with a polyester coil and child-resistant closure: NDC 72786-111-02</w:t>
      </w:r>
    </w:p>
    <w:p w14:paraId="43F43A4F" w14:textId="77777777" w:rsidR="00ED1831" w:rsidRPr="00ED1831" w:rsidRDefault="00ED1831" w:rsidP="00ED1831">
      <w:pPr>
        <w:ind w:left="57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0B6DB7E7"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Bottles of 90 tablets for oral suspension with a polyester coil and child-resistant closure: NDC 72786-111-03</w:t>
      </w:r>
    </w:p>
    <w:p w14:paraId="0B34CC2C"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Do not eat the desiccant canister or the polyester coil.</w:t>
      </w:r>
    </w:p>
    <w:p w14:paraId="038970C1" w14:textId="77777777" w:rsidR="00ED1831" w:rsidRPr="00ED1831" w:rsidRDefault="00ED1831" w:rsidP="00ED1831">
      <w:pPr>
        <w:spacing w:before="144"/>
        <w:rPr>
          <w:rFonts w:ascii="Times New Roman" w:eastAsia="Times New Roman" w:hAnsi="Times New Roman" w:cs="Times New Roman"/>
          <w:color w:val="000000"/>
        </w:rPr>
      </w:pPr>
      <w:bookmarkStart w:id="168" w:name="ID_b64b9aac-6ae5-4cfb-bc79-f4b97640c54a"/>
      <w:bookmarkStart w:id="169" w:name="section-13.1"/>
      <w:bookmarkEnd w:id="168"/>
      <w:bookmarkEnd w:id="169"/>
      <w:r w:rsidRPr="00ED1831">
        <w:rPr>
          <w:rFonts w:ascii="Times New Roman" w:eastAsia="Times New Roman" w:hAnsi="Times New Roman" w:cs="Times New Roman"/>
          <w:color w:val="000000"/>
        </w:rPr>
        <w:t>Store OXBRYTA at 20°C to 30°C (68°F to 86°F).</w:t>
      </w:r>
    </w:p>
    <w:p w14:paraId="4AB75B81" w14:textId="77777777" w:rsidR="00ED1831" w:rsidRPr="00ED1831" w:rsidRDefault="00ED1831" w:rsidP="00ED1831">
      <w:pPr>
        <w:spacing w:before="480"/>
        <w:outlineLvl w:val="0"/>
        <w:rPr>
          <w:rFonts w:ascii="Times New Roman" w:eastAsia="Times New Roman" w:hAnsi="Times New Roman" w:cs="Times New Roman"/>
          <w:b/>
          <w:bCs/>
          <w:color w:val="000000"/>
          <w:kern w:val="36"/>
        </w:rPr>
      </w:pPr>
      <w:bookmarkStart w:id="170" w:name="S17"/>
      <w:bookmarkStart w:id="171" w:name="section-14"/>
      <w:bookmarkEnd w:id="170"/>
      <w:bookmarkEnd w:id="171"/>
      <w:r w:rsidRPr="00ED1831">
        <w:rPr>
          <w:rFonts w:ascii="Times New Roman" w:eastAsia="Times New Roman" w:hAnsi="Times New Roman" w:cs="Times New Roman"/>
          <w:b/>
          <w:bCs/>
          <w:color w:val="000000"/>
          <w:kern w:val="36"/>
        </w:rPr>
        <w:lastRenderedPageBreak/>
        <w:t>17 PATIENT COUNSELING INFORMATION</w:t>
      </w:r>
    </w:p>
    <w:p w14:paraId="773E30F6"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Advise the patient to read the FDA-approved patient labeling (Patient Information and Instructions for Use).</w:t>
      </w:r>
    </w:p>
    <w:p w14:paraId="27E94A0D" w14:textId="77777777" w:rsidR="00ED1831" w:rsidRPr="00ED1831" w:rsidRDefault="00ED1831" w:rsidP="00ED1831">
      <w:pPr>
        <w:spacing w:before="144"/>
        <w:rPr>
          <w:rFonts w:ascii="Times New Roman" w:eastAsia="Times New Roman" w:hAnsi="Times New Roman" w:cs="Times New Roman"/>
          <w:color w:val="000000"/>
        </w:rPr>
      </w:pPr>
      <w:bookmarkStart w:id="172" w:name="ID_89817c9a-7612-4a94-9666-c9e802ad7419"/>
      <w:bookmarkStart w:id="173" w:name="section-14.1"/>
      <w:bookmarkEnd w:id="172"/>
      <w:bookmarkEnd w:id="173"/>
      <w:r w:rsidRPr="00ED1831">
        <w:rPr>
          <w:rFonts w:ascii="Times New Roman" w:eastAsia="Times New Roman" w:hAnsi="Times New Roman" w:cs="Times New Roman"/>
          <w:color w:val="000000"/>
        </w:rPr>
        <w:t>Hypersensitivity Reactions</w:t>
      </w:r>
    </w:p>
    <w:p w14:paraId="3BCA91CA"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Advise patients that serious hypersensitivity reactions including DRESS may occur, and to notify their healthcare providers if they develop generalized rash, urticaria, shortness of breath, facial swelling, swelling around their eyes, lips, or tongue, fever, fatigue, muscle and/or joint pain, swollen glands, and eosinophilia </w:t>
      </w:r>
      <w:r w:rsidRPr="00ED1831">
        <w:rPr>
          <w:rFonts w:ascii="Times New Roman" w:eastAsia="Times New Roman" w:hAnsi="Times New Roman" w:cs="Times New Roman"/>
          <w:i/>
          <w:iCs/>
          <w:color w:val="000000"/>
        </w:rPr>
        <w:t>[see </w:t>
      </w:r>
      <w:hyperlink r:id="rId108" w:anchor="S5.1" w:history="1">
        <w:r w:rsidRPr="00ED1831">
          <w:rPr>
            <w:rFonts w:ascii="Times New Roman" w:eastAsia="Times New Roman" w:hAnsi="Times New Roman" w:cs="Times New Roman"/>
            <w:i/>
            <w:iCs/>
            <w:color w:val="0000FF"/>
            <w:u w:val="single"/>
          </w:rPr>
          <w:t>Warnings and Precautions (5.1)</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 Inform patients that some severe hypersensitivity reactions may affect their internal organs (such as liver, kidneys, lungs) and their blood cells. Advise patients to stop OXBRYTA if a severe hypersensitivity reaction is suspected.</w:t>
      </w:r>
    </w:p>
    <w:p w14:paraId="6547CDA5" w14:textId="77777777" w:rsidR="00ED1831" w:rsidRPr="00ED1831" w:rsidRDefault="00ED1831" w:rsidP="00ED1831">
      <w:pPr>
        <w:spacing w:before="144"/>
        <w:rPr>
          <w:rFonts w:ascii="Times New Roman" w:eastAsia="Times New Roman" w:hAnsi="Times New Roman" w:cs="Times New Roman"/>
          <w:color w:val="000000"/>
        </w:rPr>
      </w:pPr>
      <w:bookmarkStart w:id="174" w:name="ID_a5c5f405-36a8-4270-82a4-581ea3aa5d4d"/>
      <w:bookmarkStart w:id="175" w:name="section-14.2"/>
      <w:bookmarkEnd w:id="174"/>
      <w:bookmarkEnd w:id="175"/>
      <w:r w:rsidRPr="00ED1831">
        <w:rPr>
          <w:rFonts w:ascii="Times New Roman" w:eastAsia="Times New Roman" w:hAnsi="Times New Roman" w:cs="Times New Roman"/>
          <w:color w:val="000000"/>
        </w:rPr>
        <w:t>Breastfeeding</w:t>
      </w:r>
    </w:p>
    <w:p w14:paraId="0EA915ED"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Advise women not to breastfeed while they are on OXBRYTA therapy </w:t>
      </w:r>
      <w:r w:rsidRPr="00ED1831">
        <w:rPr>
          <w:rFonts w:ascii="Times New Roman" w:eastAsia="Times New Roman" w:hAnsi="Times New Roman" w:cs="Times New Roman"/>
          <w:i/>
          <w:iCs/>
          <w:color w:val="000000"/>
        </w:rPr>
        <w:t>[see </w:t>
      </w:r>
      <w:hyperlink r:id="rId109" w:anchor="S8.2" w:history="1">
        <w:r w:rsidRPr="00ED1831">
          <w:rPr>
            <w:rFonts w:ascii="Times New Roman" w:eastAsia="Times New Roman" w:hAnsi="Times New Roman" w:cs="Times New Roman"/>
            <w:i/>
            <w:iCs/>
            <w:color w:val="0000FF"/>
            <w:u w:val="single"/>
          </w:rPr>
          <w:t>Use in Specific Populations (8.2)</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w:t>
      </w:r>
    </w:p>
    <w:p w14:paraId="07BAD68E" w14:textId="77777777" w:rsidR="00ED1831" w:rsidRPr="00ED1831" w:rsidRDefault="00ED1831" w:rsidP="00ED1831">
      <w:pPr>
        <w:spacing w:before="144"/>
        <w:rPr>
          <w:rFonts w:ascii="Times New Roman" w:eastAsia="Times New Roman" w:hAnsi="Times New Roman" w:cs="Times New Roman"/>
          <w:color w:val="000000"/>
        </w:rPr>
      </w:pPr>
      <w:bookmarkStart w:id="176" w:name="ID_39c280c0-8e53-4b88-ace1-bab08bfa463f"/>
      <w:bookmarkStart w:id="177" w:name="section-14.3"/>
      <w:bookmarkEnd w:id="176"/>
      <w:bookmarkEnd w:id="177"/>
      <w:r w:rsidRPr="00ED1831">
        <w:rPr>
          <w:rFonts w:ascii="Times New Roman" w:eastAsia="Times New Roman" w:hAnsi="Times New Roman" w:cs="Times New Roman"/>
          <w:color w:val="000000"/>
        </w:rPr>
        <w:t>Dosage and Administration</w:t>
      </w:r>
    </w:p>
    <w:p w14:paraId="25C5B491"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To avoid a dosing error from using the wrong formulation of OXBRYTA, strongly advise patients and caregivers to visually inspect the tablets to verify the correct formulation each time the prescription is filled </w:t>
      </w:r>
      <w:r w:rsidRPr="00ED1831">
        <w:rPr>
          <w:rFonts w:ascii="Times New Roman" w:eastAsia="Times New Roman" w:hAnsi="Times New Roman" w:cs="Times New Roman"/>
          <w:i/>
          <w:iCs/>
          <w:color w:val="000000"/>
        </w:rPr>
        <w:t>[see </w:t>
      </w:r>
      <w:hyperlink r:id="rId110" w:anchor="S2" w:history="1">
        <w:r w:rsidRPr="00ED1831">
          <w:rPr>
            <w:rFonts w:ascii="Times New Roman" w:eastAsia="Times New Roman" w:hAnsi="Times New Roman" w:cs="Times New Roman"/>
            <w:i/>
            <w:iCs/>
            <w:color w:val="0000FF"/>
            <w:u w:val="single"/>
          </w:rPr>
          <w:t>Dosage and Administration (2)</w:t>
        </w:r>
      </w:hyperlink>
      <w:r w:rsidRPr="00ED1831">
        <w:rPr>
          <w:rFonts w:ascii="Times New Roman" w:eastAsia="Times New Roman" w:hAnsi="Times New Roman" w:cs="Times New Roman"/>
          <w:i/>
          <w:iCs/>
          <w:color w:val="000000"/>
        </w:rPr>
        <w:t> and </w:t>
      </w:r>
      <w:hyperlink r:id="rId111" w:anchor="S16" w:history="1">
        <w:r w:rsidRPr="00ED1831">
          <w:rPr>
            <w:rFonts w:ascii="Times New Roman" w:eastAsia="Times New Roman" w:hAnsi="Times New Roman" w:cs="Times New Roman"/>
            <w:i/>
            <w:iCs/>
            <w:color w:val="0000FF"/>
            <w:u w:val="single"/>
          </w:rPr>
          <w:t>How Supplied/Storage and Handling (16)</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w:t>
      </w:r>
    </w:p>
    <w:p w14:paraId="2CACF43F"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Advise patients to:</w:t>
      </w:r>
    </w:p>
    <w:p w14:paraId="0222D900" w14:textId="77777777" w:rsidR="00ED1831" w:rsidRPr="00ED1831" w:rsidRDefault="00ED1831" w:rsidP="00ED1831">
      <w:pPr>
        <w:ind w:left="21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0DEB8CC0"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Store OXBRYTA at 20°C to 30°C (68°F to 86°F).</w:t>
      </w:r>
    </w:p>
    <w:p w14:paraId="20835AA0" w14:textId="77777777" w:rsidR="00ED1831" w:rsidRPr="00ED1831" w:rsidRDefault="00ED1831" w:rsidP="00ED1831">
      <w:pPr>
        <w:ind w:left="57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6A38716E"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Continue taking OXBRYTA every day for as long as their physician tells them.</w:t>
      </w:r>
    </w:p>
    <w:p w14:paraId="126489D7" w14:textId="77777777" w:rsidR="00ED1831" w:rsidRPr="00ED1831" w:rsidRDefault="00ED1831" w:rsidP="00ED1831">
      <w:pPr>
        <w:ind w:left="93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3608C0C4"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Do not take St John's wort while taking OXBRYTA.</w:t>
      </w:r>
    </w:p>
    <w:p w14:paraId="08D7F9DF" w14:textId="77777777" w:rsidR="00ED1831" w:rsidRPr="00ED1831" w:rsidRDefault="00ED1831" w:rsidP="00ED1831">
      <w:pPr>
        <w:ind w:left="129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60998B3E"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Swallow OXBRYTA tablets whole. Do not cut, crush, or chew the tablets.</w:t>
      </w:r>
    </w:p>
    <w:p w14:paraId="7D7FC24E" w14:textId="77777777" w:rsidR="00ED1831" w:rsidRPr="00ED1831" w:rsidRDefault="00ED1831" w:rsidP="00ED1831">
      <w:pPr>
        <w:ind w:left="165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294E230C"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Do not swallow whole, cut, crush, or chew OXBRYTA tablets for oral suspension. Disperse OXBRYTA tablets for oral suspension in room temperature clear drink (such as drinking water, clear soda, apple juice, clear electrolyte drinks, clear flavored drinks, or clear sports drinks) before administration. The amount of liquid needed to disperse the tablets for oral suspension will depend on the dose (number of tablets prescribed) </w:t>
      </w:r>
      <w:r w:rsidRPr="00ED1831">
        <w:rPr>
          <w:rFonts w:ascii="Times New Roman" w:eastAsia="Times New Roman" w:hAnsi="Times New Roman" w:cs="Times New Roman"/>
          <w:i/>
          <w:iCs/>
          <w:color w:val="000000"/>
        </w:rPr>
        <w:t>[see </w:t>
      </w:r>
      <w:hyperlink r:id="rId112" w:anchor="S2.7" w:history="1">
        <w:r w:rsidRPr="00ED1831">
          <w:rPr>
            <w:rFonts w:ascii="Times New Roman" w:eastAsia="Times New Roman" w:hAnsi="Times New Roman" w:cs="Times New Roman"/>
            <w:i/>
            <w:iCs/>
            <w:color w:val="0000FF"/>
            <w:u w:val="single"/>
          </w:rPr>
          <w:t>Dosage and Administration (2.7)</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w:t>
      </w:r>
    </w:p>
    <w:p w14:paraId="35A34ED0" w14:textId="77777777" w:rsidR="00ED1831" w:rsidRPr="00ED1831" w:rsidRDefault="00ED1831" w:rsidP="00ED1831">
      <w:pPr>
        <w:ind w:left="201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55135807"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Take OXBRYTA with or without food.</w:t>
      </w:r>
    </w:p>
    <w:p w14:paraId="6224F5E8" w14:textId="77777777" w:rsidR="00ED1831" w:rsidRPr="00ED1831" w:rsidRDefault="00ED1831" w:rsidP="00ED1831">
      <w:pPr>
        <w:ind w:left="2376"/>
        <w:rPr>
          <w:rFonts w:ascii="Times New Roman" w:eastAsia="Times New Roman" w:hAnsi="Times New Roman" w:cs="Times New Roman"/>
          <w:color w:val="000000"/>
        </w:rPr>
      </w:pPr>
      <w:r w:rsidRPr="00ED1831">
        <w:rPr>
          <w:rFonts w:ascii="Times New Roman" w:eastAsia="Times New Roman" w:hAnsi="Times New Roman" w:cs="Times New Roman"/>
          <w:color w:val="000000"/>
        </w:rPr>
        <w:t>•</w:t>
      </w:r>
    </w:p>
    <w:p w14:paraId="3EFABEAA" w14:textId="77777777" w:rsidR="00ED1831" w:rsidRPr="00ED1831" w:rsidRDefault="00ED1831" w:rsidP="00ED1831">
      <w:pPr>
        <w:ind w:left="720"/>
        <w:rPr>
          <w:rFonts w:ascii="Times New Roman" w:eastAsia="Times New Roman" w:hAnsi="Times New Roman" w:cs="Times New Roman"/>
          <w:color w:val="000000"/>
        </w:rPr>
      </w:pPr>
      <w:r w:rsidRPr="00ED1831">
        <w:rPr>
          <w:rFonts w:ascii="Times New Roman" w:eastAsia="Times New Roman" w:hAnsi="Times New Roman" w:cs="Times New Roman"/>
          <w:color w:val="000000"/>
        </w:rPr>
        <w:t>If a dose is missed or not consumed entirely, resume dosing the following day </w:t>
      </w:r>
      <w:r w:rsidRPr="00ED1831">
        <w:rPr>
          <w:rFonts w:ascii="Times New Roman" w:eastAsia="Times New Roman" w:hAnsi="Times New Roman" w:cs="Times New Roman"/>
          <w:i/>
          <w:iCs/>
          <w:color w:val="000000"/>
        </w:rPr>
        <w:t>[see </w:t>
      </w:r>
      <w:hyperlink r:id="rId113" w:anchor="S2.7" w:history="1">
        <w:r w:rsidRPr="00ED1831">
          <w:rPr>
            <w:rFonts w:ascii="Times New Roman" w:eastAsia="Times New Roman" w:hAnsi="Times New Roman" w:cs="Times New Roman"/>
            <w:i/>
            <w:iCs/>
            <w:color w:val="0000FF"/>
            <w:u w:val="single"/>
          </w:rPr>
          <w:t>Dosage and Administration (2.7)</w:t>
        </w:r>
      </w:hyperlink>
      <w:r w:rsidRPr="00ED1831">
        <w:rPr>
          <w:rFonts w:ascii="Times New Roman" w:eastAsia="Times New Roman" w:hAnsi="Times New Roman" w:cs="Times New Roman"/>
          <w:i/>
          <w:iCs/>
          <w:color w:val="000000"/>
        </w:rPr>
        <w:t>]</w:t>
      </w:r>
      <w:r w:rsidRPr="00ED1831">
        <w:rPr>
          <w:rFonts w:ascii="Times New Roman" w:eastAsia="Times New Roman" w:hAnsi="Times New Roman" w:cs="Times New Roman"/>
          <w:color w:val="000000"/>
        </w:rPr>
        <w:t>.</w:t>
      </w:r>
    </w:p>
    <w:p w14:paraId="3471637D" w14:textId="77777777" w:rsidR="00ED1831" w:rsidRPr="00ED1831" w:rsidRDefault="00ED1831" w:rsidP="00ED1831">
      <w:pPr>
        <w:spacing w:before="144"/>
        <w:rPr>
          <w:rFonts w:ascii="Times New Roman" w:eastAsia="Times New Roman" w:hAnsi="Times New Roman" w:cs="Times New Roman"/>
          <w:color w:val="000000"/>
        </w:rPr>
      </w:pPr>
      <w:bookmarkStart w:id="178" w:name="ID_c8e7fb8b-b93e-4a85-9953-f3cc3f85c52e"/>
      <w:bookmarkStart w:id="179" w:name="section-15"/>
      <w:bookmarkEnd w:id="178"/>
      <w:bookmarkEnd w:id="179"/>
      <w:r w:rsidRPr="00ED1831">
        <w:rPr>
          <w:rFonts w:ascii="Times New Roman" w:eastAsia="Times New Roman" w:hAnsi="Times New Roman" w:cs="Times New Roman"/>
          <w:color w:val="000000"/>
        </w:rPr>
        <w:lastRenderedPageBreak/>
        <w:t>This product's label may have been updated. For most recent prescribing information, please visit </w:t>
      </w:r>
      <w:hyperlink r:id="rId114" w:history="1">
        <w:r w:rsidRPr="00ED1831">
          <w:rPr>
            <w:rFonts w:ascii="Times New Roman" w:eastAsia="Times New Roman" w:hAnsi="Times New Roman" w:cs="Times New Roman"/>
            <w:color w:val="0000FF"/>
            <w:u w:val="single"/>
          </w:rPr>
          <w:t>www.pfizer.com</w:t>
        </w:r>
      </w:hyperlink>
      <w:r w:rsidRPr="00ED1831">
        <w:rPr>
          <w:rFonts w:ascii="Times New Roman" w:eastAsia="Times New Roman" w:hAnsi="Times New Roman" w:cs="Times New Roman"/>
          <w:color w:val="000000"/>
        </w:rPr>
        <w:t>. For medical information about OXBRYTA, please visit </w:t>
      </w:r>
      <w:hyperlink r:id="rId115" w:history="1">
        <w:r w:rsidRPr="00ED1831">
          <w:rPr>
            <w:rFonts w:ascii="Times New Roman" w:eastAsia="Times New Roman" w:hAnsi="Times New Roman" w:cs="Times New Roman"/>
            <w:color w:val="0000FF"/>
            <w:u w:val="single"/>
          </w:rPr>
          <w:t>www.pfizermedinfo.com</w:t>
        </w:r>
      </w:hyperlink>
      <w:r w:rsidRPr="00ED1831">
        <w:rPr>
          <w:rFonts w:ascii="Times New Roman" w:eastAsia="Times New Roman" w:hAnsi="Times New Roman" w:cs="Times New Roman"/>
          <w:color w:val="000000"/>
        </w:rPr>
        <w:t> or call 1-800-438-1985.</w:t>
      </w:r>
    </w:p>
    <w:bookmarkStart w:id="180" w:name="id300898479"/>
    <w:bookmarkEnd w:id="180"/>
    <w:p w14:paraId="7D02832E" w14:textId="0B779137" w:rsidR="00ED1831" w:rsidRPr="00ED1831" w:rsidRDefault="00ED1831" w:rsidP="00ED1831">
      <w:pPr>
        <w:rPr>
          <w:rFonts w:ascii="Times New Roman" w:eastAsia="Times New Roman" w:hAnsi="Times New Roman" w:cs="Times New Roman"/>
          <w:color w:val="000000"/>
        </w:rPr>
      </w:pPr>
      <w:r w:rsidRPr="00ED1831">
        <w:rPr>
          <w:rFonts w:ascii="Times New Roman" w:eastAsia="Times New Roman" w:hAnsi="Times New Roman" w:cs="Times New Roman"/>
          <w:color w:val="000000"/>
        </w:rPr>
        <w:fldChar w:fldCharType="begin"/>
      </w:r>
      <w:r w:rsidRPr="00ED1831">
        <w:rPr>
          <w:rFonts w:ascii="Times New Roman" w:eastAsia="Times New Roman" w:hAnsi="Times New Roman" w:cs="Times New Roman"/>
          <w:color w:val="000000"/>
        </w:rPr>
        <w:instrText xml:space="preserve"> INCLUDEPICTURE "https://labeling.pfizer.com/ImageHandler.ashx?id=18758" \* MERGEFORMATINET </w:instrText>
      </w:r>
      <w:r w:rsidRPr="00ED1831">
        <w:rPr>
          <w:rFonts w:ascii="Times New Roman" w:eastAsia="Times New Roman" w:hAnsi="Times New Roman" w:cs="Times New Roman"/>
          <w:color w:val="000000"/>
        </w:rPr>
        <w:fldChar w:fldCharType="separate"/>
      </w:r>
      <w:r w:rsidRPr="00ED1831">
        <w:rPr>
          <w:rFonts w:ascii="Times New Roman" w:eastAsia="Times New Roman" w:hAnsi="Times New Roman" w:cs="Times New Roman"/>
          <w:noProof/>
          <w:color w:val="000000"/>
        </w:rPr>
        <w:drawing>
          <wp:inline distT="0" distB="0" distL="0" distR="0" wp14:anchorId="54132A54" wp14:editId="4B7CBD50">
            <wp:extent cx="1905000" cy="847725"/>
            <wp:effectExtent l="0" t="0" r="0" b="3175"/>
            <wp:docPr id="1434848003" name="Picture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905000" cy="847725"/>
                    </a:xfrm>
                    <a:prstGeom prst="rect">
                      <a:avLst/>
                    </a:prstGeom>
                    <a:noFill/>
                    <a:ln>
                      <a:noFill/>
                    </a:ln>
                  </pic:spPr>
                </pic:pic>
              </a:graphicData>
            </a:graphic>
          </wp:inline>
        </w:drawing>
      </w:r>
      <w:r w:rsidRPr="00ED1831">
        <w:rPr>
          <w:rFonts w:ascii="Times New Roman" w:eastAsia="Times New Roman" w:hAnsi="Times New Roman" w:cs="Times New Roman"/>
          <w:color w:val="000000"/>
        </w:rPr>
        <w:fldChar w:fldCharType="end"/>
      </w:r>
    </w:p>
    <w:p w14:paraId="646F7492"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Distributed by</w:t>
      </w:r>
      <w:r w:rsidRPr="00ED1831">
        <w:rPr>
          <w:rFonts w:ascii="Times New Roman" w:eastAsia="Times New Roman" w:hAnsi="Times New Roman" w:cs="Times New Roman"/>
          <w:color w:val="000000"/>
        </w:rPr>
        <w:br/>
      </w:r>
      <w:r w:rsidRPr="00ED1831">
        <w:rPr>
          <w:rFonts w:ascii="Times New Roman" w:eastAsia="Times New Roman" w:hAnsi="Times New Roman" w:cs="Times New Roman"/>
          <w:b/>
          <w:bCs/>
          <w:color w:val="000000"/>
        </w:rPr>
        <w:t>Global Blood Therapeutics, Inc</w:t>
      </w:r>
      <w:r w:rsidRPr="00ED1831">
        <w:rPr>
          <w:rFonts w:ascii="Times New Roman" w:eastAsia="Times New Roman" w:hAnsi="Times New Roman" w:cs="Times New Roman"/>
          <w:b/>
          <w:bCs/>
          <w:color w:val="000000"/>
        </w:rPr>
        <w:br/>
      </w:r>
      <w:r w:rsidRPr="00ED1831">
        <w:rPr>
          <w:rFonts w:ascii="Times New Roman" w:eastAsia="Times New Roman" w:hAnsi="Times New Roman" w:cs="Times New Roman"/>
          <w:color w:val="000000"/>
        </w:rPr>
        <w:t>A subsidiary of Pfizer Inc.</w:t>
      </w:r>
      <w:r w:rsidRPr="00ED1831">
        <w:rPr>
          <w:rFonts w:ascii="Times New Roman" w:eastAsia="Times New Roman" w:hAnsi="Times New Roman" w:cs="Times New Roman"/>
          <w:color w:val="000000"/>
        </w:rPr>
        <w:br/>
        <w:t>South San Francisco, CA 94080</w:t>
      </w:r>
    </w:p>
    <w:p w14:paraId="22D7DE6E" w14:textId="77777777" w:rsidR="00ED1831" w:rsidRPr="00ED1831" w:rsidRDefault="00ED1831" w:rsidP="00ED1831">
      <w:pPr>
        <w:spacing w:before="144"/>
        <w:rPr>
          <w:rFonts w:ascii="Times New Roman" w:eastAsia="Times New Roman" w:hAnsi="Times New Roman" w:cs="Times New Roman"/>
          <w:color w:val="000000"/>
        </w:rPr>
      </w:pPr>
      <w:r w:rsidRPr="00ED1831">
        <w:rPr>
          <w:rFonts w:ascii="Times New Roman" w:eastAsia="Times New Roman" w:hAnsi="Times New Roman" w:cs="Times New Roman"/>
          <w:color w:val="000000"/>
        </w:rPr>
        <w:t>LAB-1554-1.0</w:t>
      </w:r>
    </w:p>
    <w:tbl>
      <w:tblPr>
        <w:tblW w:w="5000" w:type="pct"/>
        <w:tblCellMar>
          <w:top w:w="15" w:type="dxa"/>
          <w:left w:w="15" w:type="dxa"/>
          <w:bottom w:w="15" w:type="dxa"/>
          <w:right w:w="15" w:type="dxa"/>
        </w:tblCellMar>
        <w:tblLook w:val="04A0" w:firstRow="1" w:lastRow="0" w:firstColumn="1" w:lastColumn="0" w:noHBand="0" w:noVBand="1"/>
      </w:tblPr>
      <w:tblGrid>
        <w:gridCol w:w="604"/>
        <w:gridCol w:w="2302"/>
        <w:gridCol w:w="1433"/>
        <w:gridCol w:w="104"/>
        <w:gridCol w:w="246"/>
        <w:gridCol w:w="4507"/>
        <w:gridCol w:w="164"/>
      </w:tblGrid>
      <w:tr w:rsidR="00ED1831" w:rsidRPr="00ED1831" w14:paraId="562D7CC7" w14:textId="77777777" w:rsidTr="00ED1831">
        <w:tc>
          <w:tcPr>
            <w:tcW w:w="0" w:type="auto"/>
            <w:gridSpan w:val="5"/>
            <w:tcBorders>
              <w:top w:val="nil"/>
              <w:left w:val="nil"/>
              <w:bottom w:val="nil"/>
              <w:right w:val="nil"/>
            </w:tcBorders>
            <w:hideMark/>
          </w:tcPr>
          <w:p w14:paraId="4E7CF02F" w14:textId="77777777" w:rsidR="00ED1831" w:rsidRPr="00ED1831" w:rsidRDefault="00ED1831" w:rsidP="00ED1831">
            <w:pPr>
              <w:rPr>
                <w:rFonts w:ascii="Times New Roman" w:eastAsia="Times New Roman" w:hAnsi="Times New Roman" w:cs="Times New Roman"/>
              </w:rPr>
            </w:pPr>
            <w:bookmarkStart w:id="181" w:name="PI"/>
            <w:bookmarkStart w:id="182" w:name="section-16"/>
            <w:bookmarkEnd w:id="181"/>
            <w:bookmarkEnd w:id="182"/>
            <w:r w:rsidRPr="00ED1831">
              <w:rPr>
                <w:rFonts w:ascii="Times New Roman" w:eastAsia="Times New Roman" w:hAnsi="Times New Roman" w:cs="Times New Roman"/>
              </w:rPr>
              <w:t>This Patient Information has been approved by the U.S. Food and Drug Administration</w:t>
            </w:r>
          </w:p>
        </w:tc>
        <w:tc>
          <w:tcPr>
            <w:tcW w:w="0" w:type="auto"/>
            <w:gridSpan w:val="2"/>
            <w:tcBorders>
              <w:top w:val="nil"/>
              <w:left w:val="nil"/>
              <w:bottom w:val="nil"/>
              <w:right w:val="nil"/>
            </w:tcBorders>
            <w:hideMark/>
          </w:tcPr>
          <w:p w14:paraId="2A172D31" w14:textId="77777777" w:rsidR="00ED1831" w:rsidRPr="00ED1831" w:rsidRDefault="00ED1831" w:rsidP="00ED1831">
            <w:pPr>
              <w:jc w:val="right"/>
              <w:rPr>
                <w:rFonts w:ascii="Times New Roman" w:eastAsia="Times New Roman" w:hAnsi="Times New Roman" w:cs="Times New Roman"/>
              </w:rPr>
            </w:pPr>
            <w:r w:rsidRPr="00ED1831">
              <w:rPr>
                <w:rFonts w:ascii="Times New Roman" w:eastAsia="Times New Roman" w:hAnsi="Times New Roman" w:cs="Times New Roman"/>
              </w:rPr>
              <w:t>Revised: 08/2023</w:t>
            </w:r>
          </w:p>
        </w:tc>
      </w:tr>
      <w:tr w:rsidR="00ED1831" w:rsidRPr="00ED1831" w14:paraId="126AF5DF" w14:textId="77777777" w:rsidTr="00ED1831">
        <w:tc>
          <w:tcPr>
            <w:tcW w:w="0" w:type="auto"/>
            <w:gridSpan w:val="7"/>
            <w:tcBorders>
              <w:top w:val="single" w:sz="24" w:space="0" w:color="000000"/>
              <w:left w:val="single" w:sz="6" w:space="0" w:color="000000"/>
              <w:bottom w:val="nil"/>
              <w:right w:val="single" w:sz="6" w:space="0" w:color="000000"/>
            </w:tcBorders>
            <w:hideMark/>
          </w:tcPr>
          <w:p w14:paraId="2A18BF2D"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b/>
                <w:bCs/>
              </w:rPr>
              <w:t>PATIENT INFORMATION</w:t>
            </w:r>
          </w:p>
        </w:tc>
      </w:tr>
      <w:tr w:rsidR="00ED1831" w:rsidRPr="00ED1831" w14:paraId="018B44F9" w14:textId="77777777" w:rsidTr="00ED1831">
        <w:tc>
          <w:tcPr>
            <w:tcW w:w="0" w:type="auto"/>
            <w:tcBorders>
              <w:top w:val="nil"/>
              <w:left w:val="single" w:sz="6" w:space="0" w:color="000000"/>
              <w:bottom w:val="single" w:sz="6" w:space="0" w:color="000000"/>
              <w:right w:val="nil"/>
            </w:tcBorders>
            <w:hideMark/>
          </w:tcPr>
          <w:p w14:paraId="2C671B4B" w14:textId="77777777" w:rsidR="00ED1831" w:rsidRPr="00ED1831" w:rsidRDefault="00ED1831" w:rsidP="00ED1831">
            <w:pPr>
              <w:rPr>
                <w:rFonts w:ascii="Times New Roman" w:eastAsia="Times New Roman" w:hAnsi="Times New Roman" w:cs="Times New Roman"/>
              </w:rPr>
            </w:pPr>
          </w:p>
        </w:tc>
        <w:tc>
          <w:tcPr>
            <w:tcW w:w="0" w:type="auto"/>
            <w:gridSpan w:val="3"/>
            <w:tcBorders>
              <w:top w:val="nil"/>
              <w:left w:val="nil"/>
              <w:bottom w:val="single" w:sz="6" w:space="0" w:color="000000"/>
              <w:right w:val="nil"/>
            </w:tcBorders>
            <w:hideMark/>
          </w:tcPr>
          <w:p w14:paraId="0A8ED754"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b/>
                <w:bCs/>
              </w:rPr>
              <w:t>OXBRYTA</w:t>
            </w:r>
            <w:r w:rsidRPr="00ED1831">
              <w:rPr>
                <w:rFonts w:ascii="Times New Roman" w:eastAsia="Times New Roman" w:hAnsi="Times New Roman" w:cs="Times New Roman"/>
                <w:b/>
                <w:bCs/>
                <w:sz w:val="19"/>
                <w:szCs w:val="19"/>
              </w:rPr>
              <w:t>®</w:t>
            </w:r>
            <w:r w:rsidRPr="00ED1831">
              <w:rPr>
                <w:rFonts w:ascii="Times New Roman" w:eastAsia="Times New Roman" w:hAnsi="Times New Roman" w:cs="Times New Roman"/>
                <w:b/>
                <w:bCs/>
              </w:rPr>
              <w:t xml:space="preserve"> (ox </w:t>
            </w:r>
            <w:proofErr w:type="spellStart"/>
            <w:r w:rsidRPr="00ED1831">
              <w:rPr>
                <w:rFonts w:ascii="Times New Roman" w:eastAsia="Times New Roman" w:hAnsi="Times New Roman" w:cs="Times New Roman"/>
                <w:b/>
                <w:bCs/>
              </w:rPr>
              <w:t>brye</w:t>
            </w:r>
            <w:proofErr w:type="spellEnd"/>
            <w:r w:rsidRPr="00ED1831">
              <w:rPr>
                <w:rFonts w:ascii="Times New Roman" w:eastAsia="Times New Roman" w:hAnsi="Times New Roman" w:cs="Times New Roman"/>
                <w:b/>
                <w:bCs/>
              </w:rPr>
              <w:t xml:space="preserve"> ta)</w:t>
            </w:r>
            <w:r w:rsidRPr="00ED1831">
              <w:rPr>
                <w:rFonts w:ascii="Times New Roman" w:eastAsia="Times New Roman" w:hAnsi="Times New Roman" w:cs="Times New Roman"/>
              </w:rPr>
              <w:br/>
            </w:r>
            <w:r w:rsidRPr="00ED1831">
              <w:rPr>
                <w:rFonts w:ascii="Times New Roman" w:eastAsia="Times New Roman" w:hAnsi="Times New Roman" w:cs="Times New Roman"/>
                <w:b/>
                <w:bCs/>
              </w:rPr>
              <w:t>(</w:t>
            </w:r>
            <w:proofErr w:type="spellStart"/>
            <w:r w:rsidRPr="00ED1831">
              <w:rPr>
                <w:rFonts w:ascii="Times New Roman" w:eastAsia="Times New Roman" w:hAnsi="Times New Roman" w:cs="Times New Roman"/>
                <w:b/>
                <w:bCs/>
              </w:rPr>
              <w:t>voxelotor</w:t>
            </w:r>
            <w:proofErr w:type="spellEnd"/>
            <w:r w:rsidRPr="00ED1831">
              <w:rPr>
                <w:rFonts w:ascii="Times New Roman" w:eastAsia="Times New Roman" w:hAnsi="Times New Roman" w:cs="Times New Roman"/>
                <w:b/>
                <w:bCs/>
              </w:rPr>
              <w:t>)</w:t>
            </w:r>
            <w:r w:rsidRPr="00ED1831">
              <w:rPr>
                <w:rFonts w:ascii="Times New Roman" w:eastAsia="Times New Roman" w:hAnsi="Times New Roman" w:cs="Times New Roman"/>
              </w:rPr>
              <w:br/>
            </w:r>
            <w:r w:rsidRPr="00ED1831">
              <w:rPr>
                <w:rFonts w:ascii="Times New Roman" w:eastAsia="Times New Roman" w:hAnsi="Times New Roman" w:cs="Times New Roman"/>
                <w:b/>
                <w:bCs/>
              </w:rPr>
              <w:t>tablets</w:t>
            </w:r>
          </w:p>
        </w:tc>
        <w:tc>
          <w:tcPr>
            <w:tcW w:w="0" w:type="auto"/>
            <w:tcBorders>
              <w:top w:val="nil"/>
              <w:left w:val="nil"/>
              <w:bottom w:val="single" w:sz="6" w:space="0" w:color="000000"/>
              <w:right w:val="nil"/>
            </w:tcBorders>
            <w:hideMark/>
          </w:tcPr>
          <w:p w14:paraId="24E76525"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b/>
                <w:bCs/>
              </w:rPr>
              <w:t> </w:t>
            </w:r>
          </w:p>
        </w:tc>
        <w:tc>
          <w:tcPr>
            <w:tcW w:w="0" w:type="auto"/>
            <w:tcBorders>
              <w:top w:val="nil"/>
              <w:left w:val="nil"/>
              <w:bottom w:val="single" w:sz="6" w:space="0" w:color="000000"/>
              <w:right w:val="nil"/>
            </w:tcBorders>
            <w:hideMark/>
          </w:tcPr>
          <w:p w14:paraId="5C1FF5AF"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b/>
                <w:bCs/>
              </w:rPr>
              <w:t>OXBRYTA</w:t>
            </w:r>
            <w:r w:rsidRPr="00ED1831">
              <w:rPr>
                <w:rFonts w:ascii="Times New Roman" w:eastAsia="Times New Roman" w:hAnsi="Times New Roman" w:cs="Times New Roman"/>
                <w:b/>
                <w:bCs/>
                <w:sz w:val="19"/>
                <w:szCs w:val="19"/>
              </w:rPr>
              <w:t>®</w:t>
            </w:r>
            <w:r w:rsidRPr="00ED1831">
              <w:rPr>
                <w:rFonts w:ascii="Times New Roman" w:eastAsia="Times New Roman" w:hAnsi="Times New Roman" w:cs="Times New Roman"/>
                <w:b/>
                <w:bCs/>
              </w:rPr>
              <w:t xml:space="preserve"> (ox </w:t>
            </w:r>
            <w:proofErr w:type="spellStart"/>
            <w:r w:rsidRPr="00ED1831">
              <w:rPr>
                <w:rFonts w:ascii="Times New Roman" w:eastAsia="Times New Roman" w:hAnsi="Times New Roman" w:cs="Times New Roman"/>
                <w:b/>
                <w:bCs/>
              </w:rPr>
              <w:t>brye</w:t>
            </w:r>
            <w:proofErr w:type="spellEnd"/>
            <w:r w:rsidRPr="00ED1831">
              <w:rPr>
                <w:rFonts w:ascii="Times New Roman" w:eastAsia="Times New Roman" w:hAnsi="Times New Roman" w:cs="Times New Roman"/>
                <w:b/>
                <w:bCs/>
              </w:rPr>
              <w:t xml:space="preserve"> ta)</w:t>
            </w:r>
            <w:r w:rsidRPr="00ED1831">
              <w:rPr>
                <w:rFonts w:ascii="Times New Roman" w:eastAsia="Times New Roman" w:hAnsi="Times New Roman" w:cs="Times New Roman"/>
              </w:rPr>
              <w:br/>
            </w:r>
            <w:r w:rsidRPr="00ED1831">
              <w:rPr>
                <w:rFonts w:ascii="Times New Roman" w:eastAsia="Times New Roman" w:hAnsi="Times New Roman" w:cs="Times New Roman"/>
                <w:b/>
                <w:bCs/>
              </w:rPr>
              <w:t>(</w:t>
            </w:r>
            <w:proofErr w:type="spellStart"/>
            <w:r w:rsidRPr="00ED1831">
              <w:rPr>
                <w:rFonts w:ascii="Times New Roman" w:eastAsia="Times New Roman" w:hAnsi="Times New Roman" w:cs="Times New Roman"/>
                <w:b/>
                <w:bCs/>
              </w:rPr>
              <w:t>voxelotor</w:t>
            </w:r>
            <w:proofErr w:type="spellEnd"/>
            <w:r w:rsidRPr="00ED1831">
              <w:rPr>
                <w:rFonts w:ascii="Times New Roman" w:eastAsia="Times New Roman" w:hAnsi="Times New Roman" w:cs="Times New Roman"/>
                <w:b/>
                <w:bCs/>
              </w:rPr>
              <w:t>)</w:t>
            </w:r>
            <w:r w:rsidRPr="00ED1831">
              <w:rPr>
                <w:rFonts w:ascii="Times New Roman" w:eastAsia="Times New Roman" w:hAnsi="Times New Roman" w:cs="Times New Roman"/>
              </w:rPr>
              <w:br/>
            </w:r>
            <w:r w:rsidRPr="00ED1831">
              <w:rPr>
                <w:rFonts w:ascii="Times New Roman" w:eastAsia="Times New Roman" w:hAnsi="Times New Roman" w:cs="Times New Roman"/>
                <w:b/>
                <w:bCs/>
              </w:rPr>
              <w:t>tablets for oral suspension</w:t>
            </w:r>
          </w:p>
        </w:tc>
        <w:tc>
          <w:tcPr>
            <w:tcW w:w="0" w:type="auto"/>
            <w:tcBorders>
              <w:top w:val="nil"/>
              <w:left w:val="nil"/>
              <w:bottom w:val="single" w:sz="6" w:space="0" w:color="000000"/>
              <w:right w:val="single" w:sz="6" w:space="0" w:color="000000"/>
            </w:tcBorders>
            <w:hideMark/>
          </w:tcPr>
          <w:p w14:paraId="51213216" w14:textId="77777777" w:rsidR="00ED1831" w:rsidRPr="00ED1831" w:rsidRDefault="00ED1831" w:rsidP="00ED1831">
            <w:pPr>
              <w:rPr>
                <w:rFonts w:ascii="Times New Roman" w:eastAsia="Times New Roman" w:hAnsi="Times New Roman" w:cs="Times New Roman"/>
              </w:rPr>
            </w:pPr>
          </w:p>
        </w:tc>
      </w:tr>
      <w:tr w:rsidR="00ED1831" w:rsidRPr="00ED1831" w14:paraId="292F81F8" w14:textId="77777777" w:rsidTr="00ED1831">
        <w:tc>
          <w:tcPr>
            <w:tcW w:w="0" w:type="auto"/>
            <w:gridSpan w:val="7"/>
            <w:tcBorders>
              <w:top w:val="single" w:sz="6" w:space="0" w:color="000000"/>
              <w:left w:val="single" w:sz="6" w:space="0" w:color="000000"/>
              <w:bottom w:val="single" w:sz="6" w:space="0" w:color="000000"/>
              <w:right w:val="single" w:sz="6" w:space="0" w:color="000000"/>
            </w:tcBorders>
            <w:hideMark/>
          </w:tcPr>
          <w:p w14:paraId="56E1A2CD"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What is OXBRYTA?</w:t>
            </w:r>
            <w:r w:rsidRPr="00ED1831">
              <w:rPr>
                <w:rFonts w:ascii="Times New Roman" w:eastAsia="Times New Roman" w:hAnsi="Times New Roman" w:cs="Times New Roman"/>
              </w:rPr>
              <w:br/>
              <w:t>OXBRYTA is a prescription medicine used for the treatment of sickle cell disease in adults and children 4 years of age and older.</w:t>
            </w:r>
            <w:r w:rsidRPr="00ED1831">
              <w:rPr>
                <w:rFonts w:ascii="Times New Roman" w:eastAsia="Times New Roman" w:hAnsi="Times New Roman" w:cs="Times New Roman"/>
              </w:rPr>
              <w:br/>
              <w:t>It is not known if OXBRYTA is safe and effective in children with sickle cell disease below 4 years of age.</w:t>
            </w:r>
          </w:p>
        </w:tc>
      </w:tr>
      <w:tr w:rsidR="00ED1831" w:rsidRPr="00ED1831" w14:paraId="0DECFE4E" w14:textId="77777777" w:rsidTr="00ED1831">
        <w:tc>
          <w:tcPr>
            <w:tcW w:w="0" w:type="auto"/>
            <w:gridSpan w:val="7"/>
            <w:tcBorders>
              <w:top w:val="nil"/>
              <w:left w:val="single" w:sz="6" w:space="0" w:color="000000"/>
              <w:bottom w:val="single" w:sz="6" w:space="0" w:color="000000"/>
              <w:right w:val="single" w:sz="6" w:space="0" w:color="000000"/>
            </w:tcBorders>
            <w:hideMark/>
          </w:tcPr>
          <w:p w14:paraId="1E99D0D3"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Do not take OXBRYTA</w:t>
            </w:r>
            <w:r w:rsidRPr="00ED1831">
              <w:rPr>
                <w:rFonts w:ascii="Times New Roman" w:eastAsia="Times New Roman" w:hAnsi="Times New Roman" w:cs="Times New Roman"/>
              </w:rPr>
              <w:t xml:space="preserve"> if you or your child have had an allergic reaction to </w:t>
            </w:r>
            <w:proofErr w:type="spellStart"/>
            <w:r w:rsidRPr="00ED1831">
              <w:rPr>
                <w:rFonts w:ascii="Times New Roman" w:eastAsia="Times New Roman" w:hAnsi="Times New Roman" w:cs="Times New Roman"/>
              </w:rPr>
              <w:t>voxelotor</w:t>
            </w:r>
            <w:proofErr w:type="spellEnd"/>
            <w:r w:rsidRPr="00ED1831">
              <w:rPr>
                <w:rFonts w:ascii="Times New Roman" w:eastAsia="Times New Roman" w:hAnsi="Times New Roman" w:cs="Times New Roman"/>
              </w:rPr>
              <w:t xml:space="preserve"> or any of the ingredients in OXBRYTA. See the end of this leaflet for a list of the ingredients in OXBRYTA.</w:t>
            </w:r>
          </w:p>
        </w:tc>
      </w:tr>
      <w:tr w:rsidR="00ED1831" w:rsidRPr="00ED1831" w14:paraId="7EF8D11D" w14:textId="77777777" w:rsidTr="00ED1831">
        <w:tc>
          <w:tcPr>
            <w:tcW w:w="0" w:type="auto"/>
            <w:gridSpan w:val="7"/>
            <w:tcBorders>
              <w:top w:val="nil"/>
              <w:left w:val="single" w:sz="6" w:space="0" w:color="000000"/>
              <w:bottom w:val="single" w:sz="6" w:space="0" w:color="000000"/>
              <w:right w:val="single" w:sz="6" w:space="0" w:color="000000"/>
            </w:tcBorders>
            <w:hideMark/>
          </w:tcPr>
          <w:p w14:paraId="57E4AD08"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 xml:space="preserve">Before taking OXBRYTA, tell your healthcare provider about </w:t>
            </w:r>
            <w:proofErr w:type="gramStart"/>
            <w:r w:rsidRPr="00ED1831">
              <w:rPr>
                <w:rFonts w:ascii="Times New Roman" w:eastAsia="Times New Roman" w:hAnsi="Times New Roman" w:cs="Times New Roman"/>
                <w:b/>
                <w:bCs/>
              </w:rPr>
              <w:t>all of</w:t>
            </w:r>
            <w:proofErr w:type="gramEnd"/>
            <w:r w:rsidRPr="00ED1831">
              <w:rPr>
                <w:rFonts w:ascii="Times New Roman" w:eastAsia="Times New Roman" w:hAnsi="Times New Roman" w:cs="Times New Roman"/>
                <w:b/>
                <w:bCs/>
              </w:rPr>
              <w:t xml:space="preserve"> your medical conditions, including if you or your child:</w:t>
            </w:r>
          </w:p>
          <w:p w14:paraId="7ACEFCAC"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t>•</w:t>
            </w:r>
          </w:p>
          <w:p w14:paraId="71C03A7B"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 xml:space="preserve">have liver </w:t>
            </w:r>
            <w:proofErr w:type="gramStart"/>
            <w:r w:rsidRPr="00ED1831">
              <w:rPr>
                <w:rFonts w:ascii="Times New Roman" w:eastAsia="Times New Roman" w:hAnsi="Times New Roman" w:cs="Times New Roman"/>
              </w:rPr>
              <w:t>problems</w:t>
            </w:r>
            <w:proofErr w:type="gramEnd"/>
          </w:p>
          <w:p w14:paraId="76908561" w14:textId="77777777" w:rsidR="00ED1831" w:rsidRPr="00ED1831" w:rsidRDefault="00ED1831" w:rsidP="00ED1831">
            <w:pPr>
              <w:ind w:left="576"/>
              <w:rPr>
                <w:rFonts w:ascii="Times New Roman" w:eastAsia="Times New Roman" w:hAnsi="Times New Roman" w:cs="Times New Roman"/>
              </w:rPr>
            </w:pPr>
            <w:r w:rsidRPr="00ED1831">
              <w:rPr>
                <w:rFonts w:ascii="Times New Roman" w:eastAsia="Times New Roman" w:hAnsi="Times New Roman" w:cs="Times New Roman"/>
              </w:rPr>
              <w:t>•</w:t>
            </w:r>
          </w:p>
          <w:p w14:paraId="2159CE74"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are pregnant or plan to become pregnant. It is not known if OXBRYTA can harm your unborn baby.</w:t>
            </w:r>
          </w:p>
          <w:p w14:paraId="0D52077E" w14:textId="77777777" w:rsidR="00ED1831" w:rsidRPr="00ED1831" w:rsidRDefault="00ED1831" w:rsidP="00ED1831">
            <w:pPr>
              <w:ind w:left="936"/>
              <w:rPr>
                <w:rFonts w:ascii="Times New Roman" w:eastAsia="Times New Roman" w:hAnsi="Times New Roman" w:cs="Times New Roman"/>
              </w:rPr>
            </w:pPr>
            <w:r w:rsidRPr="00ED1831">
              <w:rPr>
                <w:rFonts w:ascii="Times New Roman" w:eastAsia="Times New Roman" w:hAnsi="Times New Roman" w:cs="Times New Roman"/>
              </w:rPr>
              <w:t>•</w:t>
            </w:r>
          </w:p>
          <w:p w14:paraId="1EF62DF7"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are breastfeeding or plan to breastfeed. It is not known if OXBRYTA can pass into your breastmilk and if it can harm your baby. Do not breastfeed during treatment with OXBRYTA and for at least 2 weeks after the last dose.</w:t>
            </w:r>
          </w:p>
          <w:p w14:paraId="654E1141"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Tell your healthcare provider about all the medicines you or your child take</w:t>
            </w:r>
            <w:r w:rsidRPr="00ED1831">
              <w:rPr>
                <w:rFonts w:ascii="Times New Roman" w:eastAsia="Times New Roman" w:hAnsi="Times New Roman" w:cs="Times New Roman"/>
              </w:rPr>
              <w:t>, including prescription and over-the-counter medicines, vitamins, and herbal supplements. Some medicines may affect how OXBRYTA works. OXBRYTA may also affect how other medicines work and may affect the results of certain blood tests. Keep a list of all your medicines and show it to your healthcare provider.</w:t>
            </w:r>
          </w:p>
        </w:tc>
      </w:tr>
      <w:tr w:rsidR="00ED1831" w:rsidRPr="00ED1831" w14:paraId="29B1AB78" w14:textId="77777777" w:rsidTr="00ED1831">
        <w:tc>
          <w:tcPr>
            <w:tcW w:w="0" w:type="auto"/>
            <w:gridSpan w:val="7"/>
            <w:tcBorders>
              <w:top w:val="nil"/>
              <w:left w:val="single" w:sz="6" w:space="0" w:color="000000"/>
              <w:bottom w:val="single" w:sz="6" w:space="0" w:color="000000"/>
              <w:right w:val="single" w:sz="6" w:space="0" w:color="000000"/>
            </w:tcBorders>
            <w:hideMark/>
          </w:tcPr>
          <w:p w14:paraId="2A7B31F5"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How should I take OXBRYTA?</w:t>
            </w:r>
          </w:p>
          <w:p w14:paraId="5338578C"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lastRenderedPageBreak/>
              <w:t>•</w:t>
            </w:r>
          </w:p>
          <w:p w14:paraId="33838401"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Take OXBRYTA exactly as your healthcare provider tells you.</w:t>
            </w:r>
          </w:p>
          <w:p w14:paraId="576BF4A7" w14:textId="77777777" w:rsidR="00ED1831" w:rsidRPr="00ED1831" w:rsidRDefault="00ED1831" w:rsidP="00ED1831">
            <w:pPr>
              <w:ind w:left="576"/>
              <w:rPr>
                <w:rFonts w:ascii="Times New Roman" w:eastAsia="Times New Roman" w:hAnsi="Times New Roman" w:cs="Times New Roman"/>
              </w:rPr>
            </w:pPr>
            <w:r w:rsidRPr="00ED1831">
              <w:rPr>
                <w:rFonts w:ascii="Times New Roman" w:eastAsia="Times New Roman" w:hAnsi="Times New Roman" w:cs="Times New Roman"/>
              </w:rPr>
              <w:t>•</w:t>
            </w:r>
          </w:p>
          <w:p w14:paraId="63957FC9"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b/>
                <w:bCs/>
              </w:rPr>
              <w:t>Do not</w:t>
            </w:r>
            <w:r w:rsidRPr="00ED1831">
              <w:rPr>
                <w:rFonts w:ascii="Times New Roman" w:eastAsia="Times New Roman" w:hAnsi="Times New Roman" w:cs="Times New Roman"/>
              </w:rPr>
              <w:t> change your dose or stop taking OXBRYTA unless your healthcare provider tells you to. Your healthcare provider may change your dose if needed.</w:t>
            </w:r>
          </w:p>
          <w:p w14:paraId="7954290B" w14:textId="77777777" w:rsidR="00ED1831" w:rsidRPr="00ED1831" w:rsidRDefault="00ED1831" w:rsidP="00ED1831">
            <w:pPr>
              <w:ind w:left="936"/>
              <w:rPr>
                <w:rFonts w:ascii="Times New Roman" w:eastAsia="Times New Roman" w:hAnsi="Times New Roman" w:cs="Times New Roman"/>
              </w:rPr>
            </w:pPr>
            <w:r w:rsidRPr="00ED1831">
              <w:rPr>
                <w:rFonts w:ascii="Times New Roman" w:eastAsia="Times New Roman" w:hAnsi="Times New Roman" w:cs="Times New Roman"/>
              </w:rPr>
              <w:t>•</w:t>
            </w:r>
          </w:p>
          <w:p w14:paraId="2CB781D5"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Take your prescribed dose of OXBRYTA 1 time each day.</w:t>
            </w:r>
          </w:p>
          <w:p w14:paraId="16FCA55E" w14:textId="77777777" w:rsidR="00ED1831" w:rsidRPr="00ED1831" w:rsidRDefault="00ED1831" w:rsidP="00ED1831">
            <w:pPr>
              <w:ind w:left="1296"/>
              <w:rPr>
                <w:rFonts w:ascii="Times New Roman" w:eastAsia="Times New Roman" w:hAnsi="Times New Roman" w:cs="Times New Roman"/>
              </w:rPr>
            </w:pPr>
            <w:r w:rsidRPr="00ED1831">
              <w:rPr>
                <w:rFonts w:ascii="Times New Roman" w:eastAsia="Times New Roman" w:hAnsi="Times New Roman" w:cs="Times New Roman"/>
              </w:rPr>
              <w:t>•</w:t>
            </w:r>
          </w:p>
          <w:p w14:paraId="7560CA95"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Take OXBRYTA with or without food.</w:t>
            </w:r>
          </w:p>
          <w:p w14:paraId="1D48A241" w14:textId="77777777" w:rsidR="00ED1831" w:rsidRPr="00ED1831" w:rsidRDefault="00ED1831" w:rsidP="00ED1831">
            <w:pPr>
              <w:ind w:left="1656"/>
              <w:rPr>
                <w:rFonts w:ascii="Times New Roman" w:eastAsia="Times New Roman" w:hAnsi="Times New Roman" w:cs="Times New Roman"/>
              </w:rPr>
            </w:pPr>
            <w:r w:rsidRPr="00ED1831">
              <w:rPr>
                <w:rFonts w:ascii="Times New Roman" w:eastAsia="Times New Roman" w:hAnsi="Times New Roman" w:cs="Times New Roman"/>
              </w:rPr>
              <w:t>•</w:t>
            </w:r>
          </w:p>
          <w:p w14:paraId="06854F4A" w14:textId="77777777" w:rsidR="00ED1831" w:rsidRPr="00ED1831" w:rsidRDefault="00ED1831" w:rsidP="00ED1831">
            <w:pPr>
              <w:ind w:left="936"/>
              <w:rPr>
                <w:rFonts w:ascii="Times New Roman" w:eastAsia="Times New Roman" w:hAnsi="Times New Roman" w:cs="Times New Roman"/>
              </w:rPr>
            </w:pPr>
            <w:r w:rsidRPr="00ED1831">
              <w:rPr>
                <w:rFonts w:ascii="Times New Roman" w:eastAsia="Times New Roman" w:hAnsi="Times New Roman" w:cs="Times New Roman"/>
                <w:b/>
                <w:bCs/>
              </w:rPr>
              <w:t>OXBRYTA comes in two different dosage forms, OXBRYTA tablets and OXBRYTA tablets for oral suspension.</w:t>
            </w:r>
            <w:r w:rsidRPr="00ED1831">
              <w:rPr>
                <w:rFonts w:ascii="Times New Roman" w:eastAsia="Times New Roman" w:hAnsi="Times New Roman" w:cs="Times New Roman"/>
              </w:rPr>
              <w:t> Your healthcare provider will decide which dosage form you take based on your age, weight, and ability to swallow tablets.</w:t>
            </w:r>
          </w:p>
          <w:p w14:paraId="433F7BC9" w14:textId="77777777" w:rsidR="00ED1831" w:rsidRPr="00ED1831" w:rsidRDefault="00ED1831" w:rsidP="00ED1831">
            <w:pPr>
              <w:ind w:left="936"/>
              <w:rPr>
                <w:rFonts w:ascii="Times New Roman" w:eastAsia="Times New Roman" w:hAnsi="Times New Roman" w:cs="Times New Roman"/>
              </w:rPr>
            </w:pPr>
            <w:r w:rsidRPr="00ED1831">
              <w:rPr>
                <w:rFonts w:ascii="Times New Roman" w:eastAsia="Times New Roman" w:hAnsi="Times New Roman" w:cs="Times New Roman"/>
              </w:rPr>
              <w:t>o</w:t>
            </w:r>
          </w:p>
          <w:p w14:paraId="757CA6CE"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b/>
                <w:bCs/>
              </w:rPr>
              <w:t>If you take OXBRYTA tablets:</w:t>
            </w:r>
            <w:r w:rsidRPr="00ED1831">
              <w:rPr>
                <w:rFonts w:ascii="Times New Roman" w:eastAsia="Times New Roman" w:hAnsi="Times New Roman" w:cs="Times New Roman"/>
              </w:rPr>
              <w:t> Swallow each OXBRYTA tablet whole. </w:t>
            </w:r>
            <w:r w:rsidRPr="00ED1831">
              <w:rPr>
                <w:rFonts w:ascii="Times New Roman" w:eastAsia="Times New Roman" w:hAnsi="Times New Roman" w:cs="Times New Roman"/>
                <w:b/>
                <w:bCs/>
              </w:rPr>
              <w:t>Do not</w:t>
            </w:r>
            <w:r w:rsidRPr="00ED1831">
              <w:rPr>
                <w:rFonts w:ascii="Times New Roman" w:eastAsia="Times New Roman" w:hAnsi="Times New Roman" w:cs="Times New Roman"/>
              </w:rPr>
              <w:t> cut, crush, or chew the tablets.</w:t>
            </w:r>
          </w:p>
          <w:p w14:paraId="4A183667" w14:textId="77777777" w:rsidR="00ED1831" w:rsidRPr="00ED1831" w:rsidRDefault="00ED1831" w:rsidP="00ED1831">
            <w:pPr>
              <w:ind w:left="1296"/>
              <w:rPr>
                <w:rFonts w:ascii="Times New Roman" w:eastAsia="Times New Roman" w:hAnsi="Times New Roman" w:cs="Times New Roman"/>
              </w:rPr>
            </w:pPr>
            <w:r w:rsidRPr="00ED1831">
              <w:rPr>
                <w:rFonts w:ascii="Times New Roman" w:eastAsia="Times New Roman" w:hAnsi="Times New Roman" w:cs="Times New Roman"/>
              </w:rPr>
              <w:t>o</w:t>
            </w:r>
          </w:p>
          <w:p w14:paraId="1DEBFA24"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b/>
                <w:bCs/>
              </w:rPr>
              <w:t>If you take OXBRYTA tablets for oral suspension: See the detailed </w:t>
            </w:r>
            <w:hyperlink r:id="rId117" w:anchor="IFU" w:history="1">
              <w:r w:rsidRPr="00ED1831">
                <w:rPr>
                  <w:rFonts w:ascii="Times New Roman" w:eastAsia="Times New Roman" w:hAnsi="Times New Roman" w:cs="Times New Roman"/>
                  <w:b/>
                  <w:bCs/>
                  <w:color w:val="0000FF"/>
                  <w:u w:val="single"/>
                </w:rPr>
                <w:t>Instructions for Use</w:t>
              </w:r>
            </w:hyperlink>
            <w:r w:rsidRPr="00ED1831">
              <w:rPr>
                <w:rFonts w:ascii="Times New Roman" w:eastAsia="Times New Roman" w:hAnsi="Times New Roman" w:cs="Times New Roman"/>
              </w:rPr>
              <w:t> on how to prepare and take your dose. You must mix the OXBRYTA tablets for oral suspension in room temperature clear drink, such as drinking water, clear soda, apple juice, clear electrolyte drinks, clear flavored drinks, or clear sports drinks, right before taking it. </w:t>
            </w:r>
            <w:r w:rsidRPr="00ED1831">
              <w:rPr>
                <w:rFonts w:ascii="Times New Roman" w:eastAsia="Times New Roman" w:hAnsi="Times New Roman" w:cs="Times New Roman"/>
                <w:b/>
                <w:bCs/>
              </w:rPr>
              <w:t>Do not</w:t>
            </w:r>
            <w:r w:rsidRPr="00ED1831">
              <w:rPr>
                <w:rFonts w:ascii="Times New Roman" w:eastAsia="Times New Roman" w:hAnsi="Times New Roman" w:cs="Times New Roman"/>
              </w:rPr>
              <w:t> swallow whole, cut, crush, or chew the tablets for oral suspension.</w:t>
            </w:r>
          </w:p>
          <w:p w14:paraId="00E80010" w14:textId="77777777" w:rsidR="00ED1831" w:rsidRPr="00ED1831" w:rsidRDefault="00ED1831" w:rsidP="00ED1831">
            <w:pPr>
              <w:ind w:left="2016"/>
              <w:rPr>
                <w:rFonts w:ascii="Times New Roman" w:eastAsia="Times New Roman" w:hAnsi="Times New Roman" w:cs="Times New Roman"/>
              </w:rPr>
            </w:pPr>
            <w:r w:rsidRPr="00ED1831">
              <w:rPr>
                <w:rFonts w:ascii="Times New Roman" w:eastAsia="Times New Roman" w:hAnsi="Times New Roman" w:cs="Times New Roman"/>
              </w:rPr>
              <w:t>•</w:t>
            </w:r>
          </w:p>
          <w:p w14:paraId="5F571624"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b/>
                <w:bCs/>
              </w:rPr>
              <w:t>Check to make sure you receive the correct dosage form of OXBRYTA each time your prescription is filled to avoid taking the wrong medicine.</w:t>
            </w:r>
          </w:p>
          <w:p w14:paraId="2AF942FD" w14:textId="77777777" w:rsidR="00ED1831" w:rsidRPr="00ED1831" w:rsidRDefault="00ED1831" w:rsidP="00ED1831">
            <w:pPr>
              <w:ind w:left="2376"/>
              <w:rPr>
                <w:rFonts w:ascii="Times New Roman" w:eastAsia="Times New Roman" w:hAnsi="Times New Roman" w:cs="Times New Roman"/>
              </w:rPr>
            </w:pPr>
            <w:r w:rsidRPr="00ED1831">
              <w:rPr>
                <w:rFonts w:ascii="Times New Roman" w:eastAsia="Times New Roman" w:hAnsi="Times New Roman" w:cs="Times New Roman"/>
              </w:rPr>
              <w:t>•</w:t>
            </w:r>
          </w:p>
          <w:p w14:paraId="378BB608"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Your healthcare provider may also prescribe a medicine called hydroxyurea during treatment with OXBRYTA.</w:t>
            </w:r>
          </w:p>
          <w:p w14:paraId="05D32DBF" w14:textId="77777777" w:rsidR="00ED1831" w:rsidRPr="00ED1831" w:rsidRDefault="00ED1831" w:rsidP="00ED1831">
            <w:pPr>
              <w:ind w:left="2736"/>
              <w:rPr>
                <w:rFonts w:ascii="Times New Roman" w:eastAsia="Times New Roman" w:hAnsi="Times New Roman" w:cs="Times New Roman"/>
              </w:rPr>
            </w:pPr>
            <w:r w:rsidRPr="00ED1831">
              <w:rPr>
                <w:rFonts w:ascii="Times New Roman" w:eastAsia="Times New Roman" w:hAnsi="Times New Roman" w:cs="Times New Roman"/>
              </w:rPr>
              <w:t>•</w:t>
            </w:r>
          </w:p>
          <w:p w14:paraId="118EADE4"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b/>
                <w:bCs/>
              </w:rPr>
              <w:t>If you or your child miss a dose of OXBRYTA or if the entire dose is not taken</w:t>
            </w:r>
            <w:r w:rsidRPr="00ED1831">
              <w:rPr>
                <w:rFonts w:ascii="Times New Roman" w:eastAsia="Times New Roman" w:hAnsi="Times New Roman" w:cs="Times New Roman"/>
              </w:rPr>
              <w:t>, skip that dose and return to your normal dosing schedule the next day.</w:t>
            </w:r>
          </w:p>
        </w:tc>
      </w:tr>
      <w:tr w:rsidR="00ED1831" w:rsidRPr="00ED1831" w14:paraId="006EB465" w14:textId="77777777" w:rsidTr="00ED1831">
        <w:tc>
          <w:tcPr>
            <w:tcW w:w="0" w:type="auto"/>
            <w:gridSpan w:val="7"/>
            <w:tcBorders>
              <w:top w:val="nil"/>
              <w:left w:val="single" w:sz="6" w:space="0" w:color="000000"/>
              <w:bottom w:val="single" w:sz="6" w:space="0" w:color="000000"/>
              <w:right w:val="single" w:sz="6" w:space="0" w:color="000000"/>
            </w:tcBorders>
            <w:hideMark/>
          </w:tcPr>
          <w:p w14:paraId="200BD172"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lastRenderedPageBreak/>
              <w:t>What should I avoid while taking OXBRYTA?</w:t>
            </w:r>
            <w:r w:rsidRPr="00ED1831">
              <w:rPr>
                <w:rFonts w:ascii="Times New Roman" w:eastAsia="Times New Roman" w:hAnsi="Times New Roman" w:cs="Times New Roman"/>
              </w:rPr>
              <w:br/>
              <w:t>Do not take St. John's wort during treatment with OXBRYTA.</w:t>
            </w:r>
          </w:p>
        </w:tc>
      </w:tr>
      <w:tr w:rsidR="00ED1831" w:rsidRPr="00ED1831" w14:paraId="2DA6547E" w14:textId="77777777" w:rsidTr="00ED1831">
        <w:tc>
          <w:tcPr>
            <w:tcW w:w="0" w:type="auto"/>
            <w:gridSpan w:val="7"/>
            <w:tcBorders>
              <w:top w:val="nil"/>
              <w:left w:val="single" w:sz="6" w:space="0" w:color="000000"/>
              <w:bottom w:val="nil"/>
              <w:right w:val="single" w:sz="6" w:space="0" w:color="000000"/>
            </w:tcBorders>
            <w:hideMark/>
          </w:tcPr>
          <w:p w14:paraId="320B4016"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What are the possible side effects of OXBRYTA?</w:t>
            </w:r>
            <w:r w:rsidRPr="00ED1831">
              <w:rPr>
                <w:rFonts w:ascii="Times New Roman" w:eastAsia="Times New Roman" w:hAnsi="Times New Roman" w:cs="Times New Roman"/>
              </w:rPr>
              <w:br/>
            </w:r>
            <w:r w:rsidRPr="00ED1831">
              <w:rPr>
                <w:rFonts w:ascii="Times New Roman" w:eastAsia="Times New Roman" w:hAnsi="Times New Roman" w:cs="Times New Roman"/>
                <w:b/>
                <w:bCs/>
              </w:rPr>
              <w:t>OXBRYTA can cause serious side effects, including:</w:t>
            </w:r>
          </w:p>
          <w:p w14:paraId="74A66B13"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t>•</w:t>
            </w:r>
          </w:p>
          <w:p w14:paraId="2F66B080"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b/>
                <w:bCs/>
              </w:rPr>
              <w:t>Severe skin rash and serious allergic reactions.</w:t>
            </w:r>
            <w:r w:rsidRPr="00ED1831">
              <w:rPr>
                <w:rFonts w:ascii="Times New Roman" w:eastAsia="Times New Roman" w:hAnsi="Times New Roman" w:cs="Times New Roman"/>
              </w:rPr>
              <w:t> Treatment with OXBRYTA may cause severe skin reactions and serious allergic reactions. The organs in your body may also be affected, such as your liver, kidneys or lungs, and your blood cells.</w:t>
            </w:r>
          </w:p>
          <w:p w14:paraId="118DF2A6" w14:textId="77777777" w:rsidR="00ED1831" w:rsidRPr="00ED1831" w:rsidRDefault="00ED1831" w:rsidP="00ED1831">
            <w:pPr>
              <w:ind w:left="576"/>
              <w:rPr>
                <w:rFonts w:ascii="Times New Roman" w:eastAsia="Times New Roman" w:hAnsi="Times New Roman" w:cs="Times New Roman"/>
              </w:rPr>
            </w:pPr>
            <w:r w:rsidRPr="00ED1831">
              <w:rPr>
                <w:rFonts w:ascii="Times New Roman" w:eastAsia="Times New Roman" w:hAnsi="Times New Roman" w:cs="Times New Roman"/>
              </w:rPr>
              <w:t>•</w:t>
            </w:r>
          </w:p>
          <w:p w14:paraId="0DA27D1C"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b/>
                <w:bCs/>
              </w:rPr>
              <w:t>Stop taking OXBRYTA,</w:t>
            </w:r>
            <w:r w:rsidRPr="00ED1831">
              <w:rPr>
                <w:rFonts w:ascii="Times New Roman" w:eastAsia="Times New Roman" w:hAnsi="Times New Roman" w:cs="Times New Roman"/>
              </w:rPr>
              <w:t> and tell your healthcare provider or get emergency medical help right away if you develop any of the following signs or symptoms during treatment:</w:t>
            </w:r>
          </w:p>
        </w:tc>
      </w:tr>
      <w:tr w:rsidR="00ED1831" w:rsidRPr="00ED1831" w14:paraId="79C6F610" w14:textId="77777777" w:rsidTr="00ED1831">
        <w:tc>
          <w:tcPr>
            <w:tcW w:w="0" w:type="auto"/>
            <w:tcBorders>
              <w:top w:val="nil"/>
              <w:left w:val="single" w:sz="6" w:space="0" w:color="000000"/>
              <w:bottom w:val="nil"/>
              <w:right w:val="nil"/>
            </w:tcBorders>
            <w:hideMark/>
          </w:tcPr>
          <w:p w14:paraId="61043DE3" w14:textId="77777777" w:rsidR="00ED1831" w:rsidRPr="00ED1831" w:rsidRDefault="00ED1831" w:rsidP="00ED1831">
            <w:pPr>
              <w:ind w:left="720"/>
              <w:rPr>
                <w:rFonts w:ascii="Times New Roman" w:eastAsia="Times New Roman" w:hAnsi="Times New Roman" w:cs="Times New Roman"/>
              </w:rPr>
            </w:pPr>
          </w:p>
        </w:tc>
        <w:tc>
          <w:tcPr>
            <w:tcW w:w="0" w:type="auto"/>
            <w:gridSpan w:val="4"/>
            <w:tcBorders>
              <w:top w:val="nil"/>
              <w:left w:val="nil"/>
              <w:bottom w:val="nil"/>
              <w:right w:val="nil"/>
            </w:tcBorders>
            <w:hideMark/>
          </w:tcPr>
          <w:p w14:paraId="7AC71EAE"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t>o</w:t>
            </w:r>
          </w:p>
          <w:p w14:paraId="43F0E4A8"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rash</w:t>
            </w:r>
          </w:p>
          <w:p w14:paraId="0B80ED02" w14:textId="77777777" w:rsidR="00ED1831" w:rsidRPr="00ED1831" w:rsidRDefault="00ED1831" w:rsidP="00ED1831">
            <w:pPr>
              <w:ind w:left="576"/>
              <w:rPr>
                <w:rFonts w:ascii="Times New Roman" w:eastAsia="Times New Roman" w:hAnsi="Times New Roman" w:cs="Times New Roman"/>
              </w:rPr>
            </w:pPr>
            <w:r w:rsidRPr="00ED1831">
              <w:rPr>
                <w:rFonts w:ascii="Times New Roman" w:eastAsia="Times New Roman" w:hAnsi="Times New Roman" w:cs="Times New Roman"/>
              </w:rPr>
              <w:t>o</w:t>
            </w:r>
          </w:p>
          <w:p w14:paraId="6C110F62"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hives</w:t>
            </w:r>
          </w:p>
          <w:p w14:paraId="65882281" w14:textId="77777777" w:rsidR="00ED1831" w:rsidRPr="00ED1831" w:rsidRDefault="00ED1831" w:rsidP="00ED1831">
            <w:pPr>
              <w:ind w:left="936"/>
              <w:rPr>
                <w:rFonts w:ascii="Times New Roman" w:eastAsia="Times New Roman" w:hAnsi="Times New Roman" w:cs="Times New Roman"/>
              </w:rPr>
            </w:pPr>
            <w:r w:rsidRPr="00ED1831">
              <w:rPr>
                <w:rFonts w:ascii="Times New Roman" w:eastAsia="Times New Roman" w:hAnsi="Times New Roman" w:cs="Times New Roman"/>
              </w:rPr>
              <w:lastRenderedPageBreak/>
              <w:t>o</w:t>
            </w:r>
          </w:p>
          <w:p w14:paraId="32A08B1A"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high temperature (fever)</w:t>
            </w:r>
          </w:p>
          <w:p w14:paraId="54052EEC" w14:textId="77777777" w:rsidR="00ED1831" w:rsidRPr="00ED1831" w:rsidRDefault="00ED1831" w:rsidP="00ED1831">
            <w:pPr>
              <w:ind w:left="1296"/>
              <w:rPr>
                <w:rFonts w:ascii="Times New Roman" w:eastAsia="Times New Roman" w:hAnsi="Times New Roman" w:cs="Times New Roman"/>
              </w:rPr>
            </w:pPr>
            <w:r w:rsidRPr="00ED1831">
              <w:rPr>
                <w:rFonts w:ascii="Times New Roman" w:eastAsia="Times New Roman" w:hAnsi="Times New Roman" w:cs="Times New Roman"/>
              </w:rPr>
              <w:t>o</w:t>
            </w:r>
          </w:p>
          <w:p w14:paraId="65E602B4"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swollen glands (lymph nodes)</w:t>
            </w:r>
          </w:p>
          <w:p w14:paraId="44028D9B" w14:textId="77777777" w:rsidR="00ED1831" w:rsidRPr="00ED1831" w:rsidRDefault="00ED1831" w:rsidP="00ED1831">
            <w:pPr>
              <w:ind w:left="1656"/>
              <w:rPr>
                <w:rFonts w:ascii="Times New Roman" w:eastAsia="Times New Roman" w:hAnsi="Times New Roman" w:cs="Times New Roman"/>
              </w:rPr>
            </w:pPr>
            <w:r w:rsidRPr="00ED1831">
              <w:rPr>
                <w:rFonts w:ascii="Times New Roman" w:eastAsia="Times New Roman" w:hAnsi="Times New Roman" w:cs="Times New Roman"/>
              </w:rPr>
              <w:t>o</w:t>
            </w:r>
          </w:p>
          <w:p w14:paraId="30FF4176"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trouble swallowing</w:t>
            </w:r>
          </w:p>
        </w:tc>
        <w:tc>
          <w:tcPr>
            <w:tcW w:w="0" w:type="auto"/>
            <w:gridSpan w:val="2"/>
            <w:tcBorders>
              <w:top w:val="nil"/>
              <w:left w:val="nil"/>
              <w:bottom w:val="nil"/>
              <w:right w:val="single" w:sz="6" w:space="0" w:color="000000"/>
            </w:tcBorders>
            <w:hideMark/>
          </w:tcPr>
          <w:p w14:paraId="4B7F10A7"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lastRenderedPageBreak/>
              <w:t>o</w:t>
            </w:r>
          </w:p>
          <w:p w14:paraId="64AEA6C4"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shortness of breath (difficult breathing)</w:t>
            </w:r>
          </w:p>
          <w:p w14:paraId="1B408DB7" w14:textId="77777777" w:rsidR="00ED1831" w:rsidRPr="00ED1831" w:rsidRDefault="00ED1831" w:rsidP="00ED1831">
            <w:pPr>
              <w:ind w:left="576"/>
              <w:rPr>
                <w:rFonts w:ascii="Times New Roman" w:eastAsia="Times New Roman" w:hAnsi="Times New Roman" w:cs="Times New Roman"/>
              </w:rPr>
            </w:pPr>
            <w:r w:rsidRPr="00ED1831">
              <w:rPr>
                <w:rFonts w:ascii="Times New Roman" w:eastAsia="Times New Roman" w:hAnsi="Times New Roman" w:cs="Times New Roman"/>
              </w:rPr>
              <w:t>o</w:t>
            </w:r>
          </w:p>
          <w:p w14:paraId="16895729"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lastRenderedPageBreak/>
              <w:t>swelling of your face, around your eyes, lips, or tongue</w:t>
            </w:r>
          </w:p>
          <w:p w14:paraId="2DE183C8" w14:textId="77777777" w:rsidR="00ED1831" w:rsidRPr="00ED1831" w:rsidRDefault="00ED1831" w:rsidP="00ED1831">
            <w:pPr>
              <w:ind w:left="936"/>
              <w:rPr>
                <w:rFonts w:ascii="Times New Roman" w:eastAsia="Times New Roman" w:hAnsi="Times New Roman" w:cs="Times New Roman"/>
              </w:rPr>
            </w:pPr>
            <w:r w:rsidRPr="00ED1831">
              <w:rPr>
                <w:rFonts w:ascii="Times New Roman" w:eastAsia="Times New Roman" w:hAnsi="Times New Roman" w:cs="Times New Roman"/>
              </w:rPr>
              <w:t>o</w:t>
            </w:r>
          </w:p>
          <w:p w14:paraId="3F8958DD"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lack of energy and tiredness (fatigue)</w:t>
            </w:r>
          </w:p>
          <w:p w14:paraId="1322DB86" w14:textId="77777777" w:rsidR="00ED1831" w:rsidRPr="00ED1831" w:rsidRDefault="00ED1831" w:rsidP="00ED1831">
            <w:pPr>
              <w:ind w:left="1296"/>
              <w:rPr>
                <w:rFonts w:ascii="Times New Roman" w:eastAsia="Times New Roman" w:hAnsi="Times New Roman" w:cs="Times New Roman"/>
              </w:rPr>
            </w:pPr>
            <w:r w:rsidRPr="00ED1831">
              <w:rPr>
                <w:rFonts w:ascii="Times New Roman" w:eastAsia="Times New Roman" w:hAnsi="Times New Roman" w:cs="Times New Roman"/>
              </w:rPr>
              <w:t>o</w:t>
            </w:r>
          </w:p>
          <w:p w14:paraId="3B4C50DD"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muscle or joint aches</w:t>
            </w:r>
          </w:p>
        </w:tc>
      </w:tr>
      <w:tr w:rsidR="00ED1831" w:rsidRPr="00ED1831" w14:paraId="43AFDE6D" w14:textId="77777777" w:rsidTr="00ED1831">
        <w:tc>
          <w:tcPr>
            <w:tcW w:w="0" w:type="auto"/>
            <w:gridSpan w:val="7"/>
            <w:tcBorders>
              <w:top w:val="nil"/>
              <w:left w:val="single" w:sz="6" w:space="0" w:color="000000"/>
              <w:bottom w:val="nil"/>
              <w:right w:val="single" w:sz="6" w:space="0" w:color="000000"/>
            </w:tcBorders>
            <w:hideMark/>
          </w:tcPr>
          <w:p w14:paraId="60DAC476"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lastRenderedPageBreak/>
              <w:t>The most common side effects of OXBRYTA include:</w:t>
            </w:r>
          </w:p>
        </w:tc>
      </w:tr>
      <w:tr w:rsidR="00ED1831" w:rsidRPr="00ED1831" w14:paraId="4DA401BA" w14:textId="77777777" w:rsidTr="00ED1831">
        <w:tc>
          <w:tcPr>
            <w:tcW w:w="0" w:type="auto"/>
            <w:gridSpan w:val="4"/>
            <w:tcBorders>
              <w:top w:val="nil"/>
              <w:left w:val="single" w:sz="6" w:space="0" w:color="000000"/>
              <w:bottom w:val="nil"/>
              <w:right w:val="nil"/>
            </w:tcBorders>
            <w:hideMark/>
          </w:tcPr>
          <w:p w14:paraId="4CF4C33B"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t>•</w:t>
            </w:r>
          </w:p>
          <w:p w14:paraId="64F27AC9"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headache</w:t>
            </w:r>
          </w:p>
          <w:p w14:paraId="455D4E61" w14:textId="77777777" w:rsidR="00ED1831" w:rsidRPr="00ED1831" w:rsidRDefault="00ED1831" w:rsidP="00ED1831">
            <w:pPr>
              <w:ind w:left="576"/>
              <w:rPr>
                <w:rFonts w:ascii="Times New Roman" w:eastAsia="Times New Roman" w:hAnsi="Times New Roman" w:cs="Times New Roman"/>
              </w:rPr>
            </w:pPr>
            <w:r w:rsidRPr="00ED1831">
              <w:rPr>
                <w:rFonts w:ascii="Times New Roman" w:eastAsia="Times New Roman" w:hAnsi="Times New Roman" w:cs="Times New Roman"/>
              </w:rPr>
              <w:t>•</w:t>
            </w:r>
          </w:p>
          <w:p w14:paraId="2794C584"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diarrhea</w:t>
            </w:r>
          </w:p>
          <w:p w14:paraId="116A3079" w14:textId="77777777" w:rsidR="00ED1831" w:rsidRPr="00ED1831" w:rsidRDefault="00ED1831" w:rsidP="00ED1831">
            <w:pPr>
              <w:ind w:left="936"/>
              <w:rPr>
                <w:rFonts w:ascii="Times New Roman" w:eastAsia="Times New Roman" w:hAnsi="Times New Roman" w:cs="Times New Roman"/>
              </w:rPr>
            </w:pPr>
            <w:r w:rsidRPr="00ED1831">
              <w:rPr>
                <w:rFonts w:ascii="Times New Roman" w:eastAsia="Times New Roman" w:hAnsi="Times New Roman" w:cs="Times New Roman"/>
              </w:rPr>
              <w:t>•</w:t>
            </w:r>
          </w:p>
          <w:p w14:paraId="31D24B6E"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stomach-area (abdominal) pain</w:t>
            </w:r>
          </w:p>
        </w:tc>
        <w:tc>
          <w:tcPr>
            <w:tcW w:w="0" w:type="auto"/>
            <w:gridSpan w:val="3"/>
            <w:tcBorders>
              <w:top w:val="nil"/>
              <w:left w:val="nil"/>
              <w:bottom w:val="nil"/>
              <w:right w:val="single" w:sz="6" w:space="0" w:color="000000"/>
            </w:tcBorders>
            <w:hideMark/>
          </w:tcPr>
          <w:p w14:paraId="6BA47AA6"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t>•</w:t>
            </w:r>
          </w:p>
          <w:p w14:paraId="20021B48"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nausea</w:t>
            </w:r>
          </w:p>
          <w:p w14:paraId="0BDD5F11" w14:textId="77777777" w:rsidR="00ED1831" w:rsidRPr="00ED1831" w:rsidRDefault="00ED1831" w:rsidP="00ED1831">
            <w:pPr>
              <w:ind w:left="576"/>
              <w:rPr>
                <w:rFonts w:ascii="Times New Roman" w:eastAsia="Times New Roman" w:hAnsi="Times New Roman" w:cs="Times New Roman"/>
              </w:rPr>
            </w:pPr>
            <w:r w:rsidRPr="00ED1831">
              <w:rPr>
                <w:rFonts w:ascii="Times New Roman" w:eastAsia="Times New Roman" w:hAnsi="Times New Roman" w:cs="Times New Roman"/>
              </w:rPr>
              <w:t>•</w:t>
            </w:r>
          </w:p>
          <w:p w14:paraId="4694D4B6"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rash or hives</w:t>
            </w:r>
          </w:p>
          <w:p w14:paraId="56B1132C" w14:textId="77777777" w:rsidR="00ED1831" w:rsidRPr="00ED1831" w:rsidRDefault="00ED1831" w:rsidP="00ED1831">
            <w:pPr>
              <w:ind w:left="936"/>
              <w:rPr>
                <w:rFonts w:ascii="Times New Roman" w:eastAsia="Times New Roman" w:hAnsi="Times New Roman" w:cs="Times New Roman"/>
              </w:rPr>
            </w:pPr>
            <w:r w:rsidRPr="00ED1831">
              <w:rPr>
                <w:rFonts w:ascii="Times New Roman" w:eastAsia="Times New Roman" w:hAnsi="Times New Roman" w:cs="Times New Roman"/>
              </w:rPr>
              <w:t>•</w:t>
            </w:r>
          </w:p>
          <w:p w14:paraId="62395CA5"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fever</w:t>
            </w:r>
          </w:p>
        </w:tc>
      </w:tr>
      <w:tr w:rsidR="00ED1831" w:rsidRPr="00ED1831" w14:paraId="50CDCA10" w14:textId="77777777" w:rsidTr="00ED1831">
        <w:tc>
          <w:tcPr>
            <w:tcW w:w="0" w:type="auto"/>
            <w:gridSpan w:val="7"/>
            <w:tcBorders>
              <w:top w:val="nil"/>
              <w:left w:val="single" w:sz="6" w:space="0" w:color="000000"/>
              <w:bottom w:val="nil"/>
              <w:right w:val="single" w:sz="6" w:space="0" w:color="000000"/>
            </w:tcBorders>
            <w:hideMark/>
          </w:tcPr>
          <w:p w14:paraId="27E329F8"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The most common side effects of OXBRYTA in children ages 4 to less than 12 years of age include:</w:t>
            </w:r>
          </w:p>
        </w:tc>
      </w:tr>
      <w:tr w:rsidR="00ED1831" w:rsidRPr="00ED1831" w14:paraId="355A1F78" w14:textId="77777777" w:rsidTr="00ED1831">
        <w:tc>
          <w:tcPr>
            <w:tcW w:w="0" w:type="auto"/>
            <w:gridSpan w:val="4"/>
            <w:tcBorders>
              <w:top w:val="nil"/>
              <w:left w:val="single" w:sz="6" w:space="0" w:color="000000"/>
              <w:bottom w:val="nil"/>
              <w:right w:val="nil"/>
            </w:tcBorders>
            <w:hideMark/>
          </w:tcPr>
          <w:p w14:paraId="01CD9FC8"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t>•</w:t>
            </w:r>
          </w:p>
          <w:p w14:paraId="48777893"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fever</w:t>
            </w:r>
          </w:p>
          <w:p w14:paraId="2A596CBB" w14:textId="77777777" w:rsidR="00ED1831" w:rsidRPr="00ED1831" w:rsidRDefault="00ED1831" w:rsidP="00ED1831">
            <w:pPr>
              <w:ind w:left="576"/>
              <w:rPr>
                <w:rFonts w:ascii="Times New Roman" w:eastAsia="Times New Roman" w:hAnsi="Times New Roman" w:cs="Times New Roman"/>
              </w:rPr>
            </w:pPr>
            <w:r w:rsidRPr="00ED1831">
              <w:rPr>
                <w:rFonts w:ascii="Times New Roman" w:eastAsia="Times New Roman" w:hAnsi="Times New Roman" w:cs="Times New Roman"/>
              </w:rPr>
              <w:t>•</w:t>
            </w:r>
          </w:p>
          <w:p w14:paraId="43AD1DCC"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vomiting</w:t>
            </w:r>
          </w:p>
          <w:p w14:paraId="635CE91C" w14:textId="77777777" w:rsidR="00ED1831" w:rsidRPr="00ED1831" w:rsidRDefault="00ED1831" w:rsidP="00ED1831">
            <w:pPr>
              <w:ind w:left="936"/>
              <w:rPr>
                <w:rFonts w:ascii="Times New Roman" w:eastAsia="Times New Roman" w:hAnsi="Times New Roman" w:cs="Times New Roman"/>
              </w:rPr>
            </w:pPr>
            <w:r w:rsidRPr="00ED1831">
              <w:rPr>
                <w:rFonts w:ascii="Times New Roman" w:eastAsia="Times New Roman" w:hAnsi="Times New Roman" w:cs="Times New Roman"/>
              </w:rPr>
              <w:t>•</w:t>
            </w:r>
          </w:p>
          <w:p w14:paraId="7E67B461"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rash</w:t>
            </w:r>
          </w:p>
        </w:tc>
        <w:tc>
          <w:tcPr>
            <w:tcW w:w="0" w:type="auto"/>
            <w:gridSpan w:val="3"/>
            <w:tcBorders>
              <w:top w:val="nil"/>
              <w:left w:val="nil"/>
              <w:bottom w:val="nil"/>
              <w:right w:val="single" w:sz="6" w:space="0" w:color="000000"/>
            </w:tcBorders>
            <w:hideMark/>
          </w:tcPr>
          <w:p w14:paraId="6B7FEBF1"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t>•</w:t>
            </w:r>
          </w:p>
          <w:p w14:paraId="258B5C63"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stomach-area (abdominal) pain</w:t>
            </w:r>
          </w:p>
          <w:p w14:paraId="6E6401BA" w14:textId="77777777" w:rsidR="00ED1831" w:rsidRPr="00ED1831" w:rsidRDefault="00ED1831" w:rsidP="00ED1831">
            <w:pPr>
              <w:ind w:left="576"/>
              <w:rPr>
                <w:rFonts w:ascii="Times New Roman" w:eastAsia="Times New Roman" w:hAnsi="Times New Roman" w:cs="Times New Roman"/>
              </w:rPr>
            </w:pPr>
            <w:r w:rsidRPr="00ED1831">
              <w:rPr>
                <w:rFonts w:ascii="Times New Roman" w:eastAsia="Times New Roman" w:hAnsi="Times New Roman" w:cs="Times New Roman"/>
              </w:rPr>
              <w:t>•</w:t>
            </w:r>
          </w:p>
          <w:p w14:paraId="0DA32C84"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diarrhea</w:t>
            </w:r>
          </w:p>
          <w:p w14:paraId="47EF85AA" w14:textId="77777777" w:rsidR="00ED1831" w:rsidRPr="00ED1831" w:rsidRDefault="00ED1831" w:rsidP="00ED1831">
            <w:pPr>
              <w:ind w:left="936"/>
              <w:rPr>
                <w:rFonts w:ascii="Times New Roman" w:eastAsia="Times New Roman" w:hAnsi="Times New Roman" w:cs="Times New Roman"/>
              </w:rPr>
            </w:pPr>
            <w:r w:rsidRPr="00ED1831">
              <w:rPr>
                <w:rFonts w:ascii="Times New Roman" w:eastAsia="Times New Roman" w:hAnsi="Times New Roman" w:cs="Times New Roman"/>
              </w:rPr>
              <w:t>•</w:t>
            </w:r>
          </w:p>
          <w:p w14:paraId="4AE7B00F"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headache</w:t>
            </w:r>
          </w:p>
        </w:tc>
      </w:tr>
      <w:tr w:rsidR="00ED1831" w:rsidRPr="00ED1831" w14:paraId="1401E99D" w14:textId="77777777" w:rsidTr="00ED1831">
        <w:tc>
          <w:tcPr>
            <w:tcW w:w="0" w:type="auto"/>
            <w:gridSpan w:val="7"/>
            <w:tcBorders>
              <w:top w:val="nil"/>
              <w:left w:val="single" w:sz="6" w:space="0" w:color="000000"/>
              <w:bottom w:val="single" w:sz="6" w:space="0" w:color="000000"/>
              <w:right w:val="single" w:sz="6" w:space="0" w:color="000000"/>
            </w:tcBorders>
            <w:hideMark/>
          </w:tcPr>
          <w:p w14:paraId="5D760746"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These are not all the possible side effects of OXBRYTA.</w:t>
            </w:r>
            <w:r w:rsidRPr="00ED1831">
              <w:rPr>
                <w:rFonts w:ascii="Times New Roman" w:eastAsia="Times New Roman" w:hAnsi="Times New Roman" w:cs="Times New Roman"/>
              </w:rPr>
              <w:br/>
              <w:t>Call your doctor for medical advice about side effects. You may report side effects to FDA at 1-800-FDA-1088.</w:t>
            </w:r>
            <w:r w:rsidRPr="00ED1831">
              <w:rPr>
                <w:rFonts w:ascii="Times New Roman" w:eastAsia="Times New Roman" w:hAnsi="Times New Roman" w:cs="Times New Roman"/>
              </w:rPr>
              <w:br/>
              <w:t>You may also report side effects to Pfizer Inc. at 1-800-438-1985.</w:t>
            </w:r>
          </w:p>
        </w:tc>
      </w:tr>
      <w:tr w:rsidR="00ED1831" w:rsidRPr="00ED1831" w14:paraId="153E0F09" w14:textId="77777777" w:rsidTr="00ED1831">
        <w:tc>
          <w:tcPr>
            <w:tcW w:w="0" w:type="auto"/>
            <w:gridSpan w:val="7"/>
            <w:tcBorders>
              <w:top w:val="nil"/>
              <w:left w:val="single" w:sz="6" w:space="0" w:color="000000"/>
              <w:bottom w:val="single" w:sz="6" w:space="0" w:color="000000"/>
              <w:right w:val="single" w:sz="6" w:space="0" w:color="000000"/>
            </w:tcBorders>
            <w:hideMark/>
          </w:tcPr>
          <w:p w14:paraId="286BF611"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How should I store OXBRYTA?</w:t>
            </w:r>
          </w:p>
          <w:p w14:paraId="50CBAF55"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t>•</w:t>
            </w:r>
          </w:p>
          <w:p w14:paraId="311242D2"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Store OXBRYTA between 68°F to 86°F (20°C to 30°C).</w:t>
            </w:r>
          </w:p>
          <w:p w14:paraId="249A3E32" w14:textId="77777777" w:rsidR="00ED1831" w:rsidRPr="00ED1831" w:rsidRDefault="00ED1831" w:rsidP="00ED1831">
            <w:pPr>
              <w:ind w:left="576"/>
              <w:rPr>
                <w:rFonts w:ascii="Times New Roman" w:eastAsia="Times New Roman" w:hAnsi="Times New Roman" w:cs="Times New Roman"/>
              </w:rPr>
            </w:pPr>
            <w:r w:rsidRPr="00ED1831">
              <w:rPr>
                <w:rFonts w:ascii="Times New Roman" w:eastAsia="Times New Roman" w:hAnsi="Times New Roman" w:cs="Times New Roman"/>
              </w:rPr>
              <w:t>•</w:t>
            </w:r>
          </w:p>
          <w:p w14:paraId="4C50B7B7"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The OXBRYTA bottle comes with a child-resistant closure.</w:t>
            </w:r>
          </w:p>
          <w:p w14:paraId="4FA4C01F" w14:textId="77777777" w:rsidR="00ED1831" w:rsidRPr="00ED1831" w:rsidRDefault="00ED1831" w:rsidP="00ED1831">
            <w:pPr>
              <w:ind w:left="936"/>
              <w:rPr>
                <w:rFonts w:ascii="Times New Roman" w:eastAsia="Times New Roman" w:hAnsi="Times New Roman" w:cs="Times New Roman"/>
              </w:rPr>
            </w:pPr>
            <w:r w:rsidRPr="00ED1831">
              <w:rPr>
                <w:rFonts w:ascii="Times New Roman" w:eastAsia="Times New Roman" w:hAnsi="Times New Roman" w:cs="Times New Roman"/>
              </w:rPr>
              <w:t>•</w:t>
            </w:r>
          </w:p>
          <w:p w14:paraId="7E6B3A87"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The OXBRYTA bottle may contain a desiccant canister to help keep your medicine dry (protect it from moisture) and a polyester coil. Do not eat the desiccant or polyester coil.</w:t>
            </w:r>
          </w:p>
          <w:p w14:paraId="72B14201"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Keep OXBRYTA and all medicines out of the reach of children.</w:t>
            </w:r>
          </w:p>
        </w:tc>
      </w:tr>
      <w:tr w:rsidR="00ED1831" w:rsidRPr="00ED1831" w14:paraId="367C412E" w14:textId="77777777" w:rsidTr="00ED1831">
        <w:tc>
          <w:tcPr>
            <w:tcW w:w="0" w:type="auto"/>
            <w:gridSpan w:val="7"/>
            <w:tcBorders>
              <w:top w:val="nil"/>
              <w:left w:val="single" w:sz="6" w:space="0" w:color="000000"/>
              <w:bottom w:val="single" w:sz="6" w:space="0" w:color="000000"/>
              <w:right w:val="single" w:sz="6" w:space="0" w:color="000000"/>
            </w:tcBorders>
            <w:hideMark/>
          </w:tcPr>
          <w:p w14:paraId="08D38AB0"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General information about the safe and effective use of OXBRYTA.</w:t>
            </w:r>
            <w:r w:rsidRPr="00ED1831">
              <w:rPr>
                <w:rFonts w:ascii="Times New Roman" w:eastAsia="Times New Roman" w:hAnsi="Times New Roman" w:cs="Times New Roman"/>
              </w:rPr>
              <w:br/>
              <w:t>Medicines are sometimes prescribed for purposes other than those listed in a Patient Information leaflet. Do not use OXBRYTA for a condition for which it was not prescribed. Do not give OXBRYTA to other people, even if they have the same symptoms that you have. It may harm them. You can ask your pharmacist or healthcare provider for information about OXBRYTA that is written for health professionals.</w:t>
            </w:r>
          </w:p>
        </w:tc>
      </w:tr>
      <w:tr w:rsidR="00ED1831" w:rsidRPr="00ED1831" w14:paraId="5E3C31E6" w14:textId="77777777" w:rsidTr="00ED1831">
        <w:tc>
          <w:tcPr>
            <w:tcW w:w="0" w:type="auto"/>
            <w:gridSpan w:val="7"/>
            <w:tcBorders>
              <w:top w:val="nil"/>
              <w:left w:val="single" w:sz="6" w:space="0" w:color="000000"/>
              <w:bottom w:val="single" w:sz="24" w:space="0" w:color="000000"/>
              <w:right w:val="single" w:sz="6" w:space="0" w:color="000000"/>
            </w:tcBorders>
            <w:hideMark/>
          </w:tcPr>
          <w:p w14:paraId="57DD40E0" w14:textId="47668B05"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What are the ingredients of OXBRYTA?</w:t>
            </w:r>
            <w:r w:rsidRPr="00ED1831">
              <w:rPr>
                <w:rFonts w:ascii="Times New Roman" w:eastAsia="Times New Roman" w:hAnsi="Times New Roman" w:cs="Times New Roman"/>
              </w:rPr>
              <w:br/>
            </w:r>
            <w:r w:rsidRPr="00ED1831">
              <w:rPr>
                <w:rFonts w:ascii="Times New Roman" w:eastAsia="Times New Roman" w:hAnsi="Times New Roman" w:cs="Times New Roman"/>
                <w:b/>
                <w:bCs/>
              </w:rPr>
              <w:t>Active Ingredient:</w:t>
            </w:r>
            <w:r w:rsidRPr="00ED1831">
              <w:rPr>
                <w:rFonts w:ascii="Times New Roman" w:eastAsia="Times New Roman" w:hAnsi="Times New Roman" w:cs="Times New Roman"/>
              </w:rPr>
              <w:t> </w:t>
            </w:r>
            <w:proofErr w:type="spellStart"/>
            <w:r w:rsidRPr="00ED1831">
              <w:rPr>
                <w:rFonts w:ascii="Times New Roman" w:eastAsia="Times New Roman" w:hAnsi="Times New Roman" w:cs="Times New Roman"/>
              </w:rPr>
              <w:t>voxelotor</w:t>
            </w:r>
            <w:proofErr w:type="spellEnd"/>
            <w:r w:rsidRPr="00ED1831">
              <w:rPr>
                <w:rFonts w:ascii="Times New Roman" w:eastAsia="Times New Roman" w:hAnsi="Times New Roman" w:cs="Times New Roman"/>
              </w:rPr>
              <w:br/>
            </w:r>
            <w:r w:rsidRPr="00ED1831">
              <w:rPr>
                <w:rFonts w:ascii="Times New Roman" w:eastAsia="Times New Roman" w:hAnsi="Times New Roman" w:cs="Times New Roman"/>
                <w:b/>
                <w:bCs/>
              </w:rPr>
              <w:t>Inactive Ingredients:</w:t>
            </w:r>
            <w:r w:rsidRPr="00ED1831">
              <w:rPr>
                <w:rFonts w:ascii="Times New Roman" w:eastAsia="Times New Roman" w:hAnsi="Times New Roman" w:cs="Times New Roman"/>
              </w:rPr>
              <w:br/>
              <w:t xml:space="preserve">OXBRYTA tablets: colloidal silicon dioxide, croscarmellose sodium, magnesium stearate, microcrystalline cellulose, and sodium lauryl sulfate. The 500 mg tablet film coating contains: </w:t>
            </w:r>
            <w:r w:rsidRPr="00ED1831">
              <w:rPr>
                <w:rFonts w:ascii="Times New Roman" w:eastAsia="Times New Roman" w:hAnsi="Times New Roman" w:cs="Times New Roman"/>
              </w:rPr>
              <w:lastRenderedPageBreak/>
              <w:t>polyethylene glycol 3350, polyvinyl alcohol, talc, titanium dioxide, and yellow iron oxide. The 300 mg tablet film coating contains: black and red iron oxide, polyethylene glycol 3350, polyvinyl alcohol, talc, and titanium dioxide.</w:t>
            </w:r>
            <w:r w:rsidRPr="00ED1831">
              <w:rPr>
                <w:rFonts w:ascii="Times New Roman" w:eastAsia="Times New Roman" w:hAnsi="Times New Roman" w:cs="Times New Roman"/>
              </w:rPr>
              <w:br/>
              <w:t>OXBRYTA tablets for oral suspension: artificial grape flavor, colloidal silicon dioxide, croscarmellose sodium, iron oxide pigment, magnesium stearate, microcrystalline cellulose, and sucralose.</w:t>
            </w:r>
            <w:r w:rsidRPr="00ED1831">
              <w:rPr>
                <w:rFonts w:ascii="Times New Roman" w:eastAsia="Times New Roman" w:hAnsi="Times New Roman" w:cs="Times New Roman"/>
              </w:rPr>
              <w:br/>
            </w:r>
            <w:r w:rsidRPr="00ED1831">
              <w:rPr>
                <w:rFonts w:ascii="Times New Roman" w:eastAsia="Times New Roman" w:hAnsi="Times New Roman" w:cs="Times New Roman"/>
              </w:rPr>
              <w:br/>
            </w:r>
            <w:bookmarkStart w:id="183" w:name="id-1532098349"/>
            <w:bookmarkEnd w:id="183"/>
            <w:r w:rsidRPr="00ED1831">
              <w:rPr>
                <w:rFonts w:ascii="Times New Roman" w:eastAsia="Times New Roman" w:hAnsi="Times New Roman" w:cs="Times New Roman"/>
              </w:rPr>
              <w:fldChar w:fldCharType="begin"/>
            </w:r>
            <w:r w:rsidRPr="00ED1831">
              <w:rPr>
                <w:rFonts w:ascii="Times New Roman" w:eastAsia="Times New Roman" w:hAnsi="Times New Roman" w:cs="Times New Roman"/>
              </w:rPr>
              <w:instrText xml:space="preserve"> INCLUDEPICTURE "https://labeling.pfizer.com/ImageHandler.ashx?id=18747" \* MERGEFORMATINET </w:instrText>
            </w:r>
            <w:r w:rsidRPr="00ED1831">
              <w:rPr>
                <w:rFonts w:ascii="Times New Roman" w:eastAsia="Times New Roman" w:hAnsi="Times New Roman" w:cs="Times New Roman"/>
              </w:rPr>
              <w:fldChar w:fldCharType="separate"/>
            </w:r>
            <w:r w:rsidRPr="00ED1831">
              <w:rPr>
                <w:rFonts w:ascii="Times New Roman" w:eastAsia="Times New Roman" w:hAnsi="Times New Roman" w:cs="Times New Roman"/>
                <w:noProof/>
              </w:rPr>
              <w:drawing>
                <wp:inline distT="0" distB="0" distL="0" distR="0" wp14:anchorId="7E4BC921" wp14:editId="537EED68">
                  <wp:extent cx="1905000" cy="847725"/>
                  <wp:effectExtent l="0" t="0" r="0" b="3175"/>
                  <wp:docPr id="216470493"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905000" cy="847725"/>
                          </a:xfrm>
                          <a:prstGeom prst="rect">
                            <a:avLst/>
                          </a:prstGeom>
                          <a:noFill/>
                          <a:ln>
                            <a:noFill/>
                          </a:ln>
                        </pic:spPr>
                      </pic:pic>
                    </a:graphicData>
                  </a:graphic>
                </wp:inline>
              </w:drawing>
            </w:r>
            <w:r w:rsidRPr="00ED1831">
              <w:rPr>
                <w:rFonts w:ascii="Times New Roman" w:eastAsia="Times New Roman" w:hAnsi="Times New Roman" w:cs="Times New Roman"/>
              </w:rPr>
              <w:fldChar w:fldCharType="end"/>
            </w:r>
          </w:p>
          <w:p w14:paraId="5E0EAFEF"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Distributed by</w:t>
            </w:r>
          </w:p>
          <w:p w14:paraId="74804680"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Global Blood Therapeutics, Inc</w:t>
            </w:r>
          </w:p>
          <w:p w14:paraId="781DA52B"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A subsidiary of Pfizer Inc.</w:t>
            </w:r>
          </w:p>
          <w:p w14:paraId="24564873"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South San Francisco, CA 94080</w:t>
            </w:r>
            <w:r w:rsidRPr="00ED1831">
              <w:rPr>
                <w:rFonts w:ascii="Times New Roman" w:eastAsia="Times New Roman" w:hAnsi="Times New Roman" w:cs="Times New Roman"/>
              </w:rPr>
              <w:br/>
            </w:r>
            <w:r w:rsidRPr="00ED1831">
              <w:rPr>
                <w:rFonts w:ascii="Times New Roman" w:eastAsia="Times New Roman" w:hAnsi="Times New Roman" w:cs="Times New Roman"/>
              </w:rPr>
              <w:br/>
              <w:t>LAB-1567-1.0</w:t>
            </w:r>
          </w:p>
          <w:p w14:paraId="1D2637ED"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For more information, go to </w:t>
            </w:r>
            <w:hyperlink r:id="rId118" w:history="1">
              <w:r w:rsidRPr="00ED1831">
                <w:rPr>
                  <w:rFonts w:ascii="Times New Roman" w:eastAsia="Times New Roman" w:hAnsi="Times New Roman" w:cs="Times New Roman"/>
                  <w:color w:val="0000FF"/>
                  <w:u w:val="single"/>
                </w:rPr>
                <w:t>www.pfizer.com</w:t>
              </w:r>
            </w:hyperlink>
            <w:r w:rsidRPr="00ED1831">
              <w:rPr>
                <w:rFonts w:ascii="Times New Roman" w:eastAsia="Times New Roman" w:hAnsi="Times New Roman" w:cs="Times New Roman"/>
              </w:rPr>
              <w:t> or call 1-800-438-1985.</w:t>
            </w:r>
          </w:p>
        </w:tc>
      </w:tr>
      <w:tr w:rsidR="00ED1831" w:rsidRPr="00ED1831" w14:paraId="2A573EA6" w14:textId="77777777" w:rsidTr="00ED1831">
        <w:tc>
          <w:tcPr>
            <w:tcW w:w="0" w:type="auto"/>
            <w:gridSpan w:val="4"/>
            <w:tcBorders>
              <w:top w:val="nil"/>
              <w:left w:val="nil"/>
              <w:bottom w:val="nil"/>
              <w:right w:val="nil"/>
            </w:tcBorders>
            <w:hideMark/>
          </w:tcPr>
          <w:p w14:paraId="4653243D" w14:textId="77777777" w:rsidR="00ED1831" w:rsidRPr="00ED1831" w:rsidRDefault="00ED1831" w:rsidP="00ED1831">
            <w:pPr>
              <w:rPr>
                <w:rFonts w:ascii="Times New Roman" w:eastAsia="Times New Roman" w:hAnsi="Times New Roman" w:cs="Times New Roman"/>
              </w:rPr>
            </w:pPr>
            <w:bookmarkStart w:id="184" w:name="IFU"/>
            <w:bookmarkStart w:id="185" w:name="section-17"/>
            <w:bookmarkEnd w:id="184"/>
            <w:bookmarkEnd w:id="185"/>
            <w:r w:rsidRPr="00ED1831">
              <w:rPr>
                <w:rFonts w:ascii="Times New Roman" w:eastAsia="Times New Roman" w:hAnsi="Times New Roman" w:cs="Times New Roman"/>
              </w:rPr>
              <w:lastRenderedPageBreak/>
              <w:t>This Instructions for Use has been approved by the U.S. Food and Drug Administration.</w:t>
            </w:r>
          </w:p>
        </w:tc>
        <w:tc>
          <w:tcPr>
            <w:tcW w:w="0" w:type="auto"/>
            <w:gridSpan w:val="3"/>
            <w:tcBorders>
              <w:top w:val="nil"/>
              <w:left w:val="nil"/>
              <w:bottom w:val="nil"/>
              <w:right w:val="nil"/>
            </w:tcBorders>
            <w:hideMark/>
          </w:tcPr>
          <w:p w14:paraId="7EA21046" w14:textId="77777777" w:rsidR="00ED1831" w:rsidRPr="00ED1831" w:rsidRDefault="00ED1831" w:rsidP="00ED1831">
            <w:pPr>
              <w:jc w:val="right"/>
              <w:rPr>
                <w:rFonts w:ascii="Times New Roman" w:eastAsia="Times New Roman" w:hAnsi="Times New Roman" w:cs="Times New Roman"/>
              </w:rPr>
            </w:pPr>
            <w:r w:rsidRPr="00ED1831">
              <w:rPr>
                <w:rFonts w:ascii="Times New Roman" w:eastAsia="Times New Roman" w:hAnsi="Times New Roman" w:cs="Times New Roman"/>
              </w:rPr>
              <w:t>Revised: 08/2023</w:t>
            </w:r>
          </w:p>
        </w:tc>
      </w:tr>
      <w:tr w:rsidR="00ED1831" w:rsidRPr="00ED1831" w14:paraId="778F40CE" w14:textId="77777777" w:rsidTr="00ED1831">
        <w:tc>
          <w:tcPr>
            <w:tcW w:w="0" w:type="auto"/>
            <w:gridSpan w:val="7"/>
            <w:tcBorders>
              <w:top w:val="single" w:sz="24" w:space="0" w:color="000000"/>
              <w:left w:val="single" w:sz="6" w:space="0" w:color="000000"/>
              <w:bottom w:val="single" w:sz="6" w:space="0" w:color="000000"/>
              <w:right w:val="single" w:sz="6" w:space="0" w:color="000000"/>
            </w:tcBorders>
            <w:hideMark/>
          </w:tcPr>
          <w:p w14:paraId="700B2B76"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b/>
                <w:bCs/>
              </w:rPr>
              <w:t>INSTRUCTIONS FOR USE</w:t>
            </w:r>
            <w:r w:rsidRPr="00ED1831">
              <w:rPr>
                <w:rFonts w:ascii="Times New Roman" w:eastAsia="Times New Roman" w:hAnsi="Times New Roman" w:cs="Times New Roman"/>
              </w:rPr>
              <w:br/>
            </w:r>
            <w:r w:rsidRPr="00ED1831">
              <w:rPr>
                <w:rFonts w:ascii="Times New Roman" w:eastAsia="Times New Roman" w:hAnsi="Times New Roman" w:cs="Times New Roman"/>
                <w:b/>
                <w:bCs/>
              </w:rPr>
              <w:t>OXBRYTA</w:t>
            </w:r>
            <w:r w:rsidRPr="00ED1831">
              <w:rPr>
                <w:rFonts w:ascii="Times New Roman" w:eastAsia="Times New Roman" w:hAnsi="Times New Roman" w:cs="Times New Roman"/>
                <w:b/>
                <w:bCs/>
                <w:sz w:val="19"/>
                <w:szCs w:val="19"/>
              </w:rPr>
              <w:t>®</w:t>
            </w:r>
            <w:r w:rsidRPr="00ED1831">
              <w:rPr>
                <w:rFonts w:ascii="Times New Roman" w:eastAsia="Times New Roman" w:hAnsi="Times New Roman" w:cs="Times New Roman"/>
                <w:b/>
                <w:bCs/>
              </w:rPr>
              <w:t xml:space="preserve"> [ox </w:t>
            </w:r>
            <w:proofErr w:type="spellStart"/>
            <w:r w:rsidRPr="00ED1831">
              <w:rPr>
                <w:rFonts w:ascii="Times New Roman" w:eastAsia="Times New Roman" w:hAnsi="Times New Roman" w:cs="Times New Roman"/>
                <w:b/>
                <w:bCs/>
              </w:rPr>
              <w:t>brye</w:t>
            </w:r>
            <w:proofErr w:type="spellEnd"/>
            <w:r w:rsidRPr="00ED1831">
              <w:rPr>
                <w:rFonts w:ascii="Times New Roman" w:eastAsia="Times New Roman" w:hAnsi="Times New Roman" w:cs="Times New Roman"/>
                <w:b/>
                <w:bCs/>
              </w:rPr>
              <w:t xml:space="preserve"> ta]</w:t>
            </w:r>
            <w:r w:rsidRPr="00ED1831">
              <w:rPr>
                <w:rFonts w:ascii="Times New Roman" w:eastAsia="Times New Roman" w:hAnsi="Times New Roman" w:cs="Times New Roman"/>
              </w:rPr>
              <w:br/>
            </w:r>
            <w:r w:rsidRPr="00ED1831">
              <w:rPr>
                <w:rFonts w:ascii="Times New Roman" w:eastAsia="Times New Roman" w:hAnsi="Times New Roman" w:cs="Times New Roman"/>
                <w:b/>
                <w:bCs/>
              </w:rPr>
              <w:t>(</w:t>
            </w:r>
            <w:proofErr w:type="spellStart"/>
            <w:r w:rsidRPr="00ED1831">
              <w:rPr>
                <w:rFonts w:ascii="Times New Roman" w:eastAsia="Times New Roman" w:hAnsi="Times New Roman" w:cs="Times New Roman"/>
                <w:b/>
                <w:bCs/>
              </w:rPr>
              <w:t>voxelotor</w:t>
            </w:r>
            <w:proofErr w:type="spellEnd"/>
            <w:r w:rsidRPr="00ED1831">
              <w:rPr>
                <w:rFonts w:ascii="Times New Roman" w:eastAsia="Times New Roman" w:hAnsi="Times New Roman" w:cs="Times New Roman"/>
                <w:b/>
                <w:bCs/>
              </w:rPr>
              <w:t>)</w:t>
            </w:r>
            <w:r w:rsidRPr="00ED1831">
              <w:rPr>
                <w:rFonts w:ascii="Times New Roman" w:eastAsia="Times New Roman" w:hAnsi="Times New Roman" w:cs="Times New Roman"/>
              </w:rPr>
              <w:br/>
            </w:r>
            <w:r w:rsidRPr="00ED1831">
              <w:rPr>
                <w:rFonts w:ascii="Times New Roman" w:eastAsia="Times New Roman" w:hAnsi="Times New Roman" w:cs="Times New Roman"/>
                <w:b/>
                <w:bCs/>
              </w:rPr>
              <w:t>tablets for oral suspension</w:t>
            </w:r>
            <w:r w:rsidRPr="00ED1831">
              <w:rPr>
                <w:rFonts w:ascii="Times New Roman" w:eastAsia="Times New Roman" w:hAnsi="Times New Roman" w:cs="Times New Roman"/>
              </w:rPr>
              <w:br/>
            </w:r>
            <w:r w:rsidRPr="00ED1831">
              <w:rPr>
                <w:rFonts w:ascii="Times New Roman" w:eastAsia="Times New Roman" w:hAnsi="Times New Roman" w:cs="Times New Roman"/>
                <w:b/>
                <w:bCs/>
              </w:rPr>
              <w:t>300 mg</w:t>
            </w:r>
          </w:p>
        </w:tc>
      </w:tr>
      <w:tr w:rsidR="00ED1831" w:rsidRPr="00ED1831" w14:paraId="5CBAEC6F" w14:textId="77777777" w:rsidTr="00ED1831">
        <w:tc>
          <w:tcPr>
            <w:tcW w:w="0" w:type="auto"/>
            <w:gridSpan w:val="7"/>
            <w:tcBorders>
              <w:top w:val="single" w:sz="6" w:space="0" w:color="000000"/>
              <w:left w:val="single" w:sz="6" w:space="0" w:color="000000"/>
              <w:bottom w:val="single" w:sz="6" w:space="0" w:color="000000"/>
              <w:right w:val="single" w:sz="6" w:space="0" w:color="000000"/>
            </w:tcBorders>
            <w:hideMark/>
          </w:tcPr>
          <w:p w14:paraId="4DB6111A"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This Instructions for Use contains information on how to take OXBRYTA tablets for oral suspension.</w:t>
            </w:r>
            <w:r w:rsidRPr="00ED1831">
              <w:rPr>
                <w:rFonts w:ascii="Times New Roman" w:eastAsia="Times New Roman" w:hAnsi="Times New Roman" w:cs="Times New Roman"/>
              </w:rPr>
              <w:br/>
              <w:t>Read this Instructions for Use before you or your child start taking OXBRYTA tablets for oral suspension for the first time and each time you or your child get a refill. There may be new information. This information does not take the place of talking to your healthcare provider about your or your child's medical condition or treatment.</w:t>
            </w:r>
            <w:r w:rsidRPr="00ED1831">
              <w:rPr>
                <w:rFonts w:ascii="Times New Roman" w:eastAsia="Times New Roman" w:hAnsi="Times New Roman" w:cs="Times New Roman"/>
              </w:rPr>
              <w:br/>
              <w:t>Talk to your healthcare provider or pharmacist if you have questions about how to take or give the prescribed dose of OXBRYTA tablets for oral suspension.</w:t>
            </w:r>
          </w:p>
        </w:tc>
      </w:tr>
      <w:tr w:rsidR="00ED1831" w:rsidRPr="00ED1831" w14:paraId="567FF8A5" w14:textId="77777777" w:rsidTr="00ED1831">
        <w:tc>
          <w:tcPr>
            <w:tcW w:w="0" w:type="auto"/>
            <w:gridSpan w:val="7"/>
            <w:tcBorders>
              <w:top w:val="nil"/>
              <w:left w:val="single" w:sz="6" w:space="0" w:color="000000"/>
              <w:bottom w:val="single" w:sz="6" w:space="0" w:color="000000"/>
              <w:right w:val="single" w:sz="6" w:space="0" w:color="000000"/>
            </w:tcBorders>
            <w:hideMark/>
          </w:tcPr>
          <w:p w14:paraId="0A0D3DF0"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Important Information You Need to Know Before Taking OXBRYTA Tablets for Oral Suspension:</w:t>
            </w:r>
          </w:p>
          <w:p w14:paraId="390DCAF9"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t>•</w:t>
            </w:r>
          </w:p>
          <w:p w14:paraId="6130816E"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Take OXBRYTA tablets for oral suspension exactly as your healthcare provider tells you.</w:t>
            </w:r>
          </w:p>
          <w:p w14:paraId="1CE24409" w14:textId="77777777" w:rsidR="00ED1831" w:rsidRPr="00ED1831" w:rsidRDefault="00ED1831" w:rsidP="00ED1831">
            <w:pPr>
              <w:ind w:left="576"/>
              <w:rPr>
                <w:rFonts w:ascii="Times New Roman" w:eastAsia="Times New Roman" w:hAnsi="Times New Roman" w:cs="Times New Roman"/>
              </w:rPr>
            </w:pPr>
            <w:r w:rsidRPr="00ED1831">
              <w:rPr>
                <w:rFonts w:ascii="Times New Roman" w:eastAsia="Times New Roman" w:hAnsi="Times New Roman" w:cs="Times New Roman"/>
              </w:rPr>
              <w:t>•</w:t>
            </w:r>
          </w:p>
          <w:p w14:paraId="2F58D667"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Your healthcare provider will tell you how many OXBRYTA tablets for oral suspension you will need for your or your child's dose.</w:t>
            </w:r>
          </w:p>
          <w:p w14:paraId="7E25EBAE" w14:textId="77777777" w:rsidR="00ED1831" w:rsidRPr="00ED1831" w:rsidRDefault="00ED1831" w:rsidP="00ED1831">
            <w:pPr>
              <w:ind w:left="936"/>
              <w:rPr>
                <w:rFonts w:ascii="Times New Roman" w:eastAsia="Times New Roman" w:hAnsi="Times New Roman" w:cs="Times New Roman"/>
              </w:rPr>
            </w:pPr>
            <w:r w:rsidRPr="00ED1831">
              <w:rPr>
                <w:rFonts w:ascii="Times New Roman" w:eastAsia="Times New Roman" w:hAnsi="Times New Roman" w:cs="Times New Roman"/>
              </w:rPr>
              <w:t>•</w:t>
            </w:r>
          </w:p>
          <w:p w14:paraId="0FCF703E"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OXBRYTA comes in two different dosage forms. </w:t>
            </w:r>
            <w:r w:rsidRPr="00ED1831">
              <w:rPr>
                <w:rFonts w:ascii="Times New Roman" w:eastAsia="Times New Roman" w:hAnsi="Times New Roman" w:cs="Times New Roman"/>
                <w:b/>
                <w:bCs/>
              </w:rPr>
              <w:t>Each time you receive your or your child's prescription, check the bottle to make sure that you received the prescribed dosage form of OXBRYTA tablets for oral suspension</w:t>
            </w:r>
            <w:r w:rsidRPr="00ED1831">
              <w:rPr>
                <w:rFonts w:ascii="Times New Roman" w:eastAsia="Times New Roman" w:hAnsi="Times New Roman" w:cs="Times New Roman"/>
              </w:rPr>
              <w:t xml:space="preserve">. OXBRYTA tablets for oral </w:t>
            </w:r>
            <w:r w:rsidRPr="00ED1831">
              <w:rPr>
                <w:rFonts w:ascii="Times New Roman" w:eastAsia="Times New Roman" w:hAnsi="Times New Roman" w:cs="Times New Roman"/>
              </w:rPr>
              <w:lastRenderedPageBreak/>
              <w:t>suspension are light yellow to yellow, round shaped, and marked with "300 D" on one side. Contact your pharmacist or healthcare provider if you did not receive the correct dosage form.</w:t>
            </w:r>
          </w:p>
          <w:p w14:paraId="2411C1EF" w14:textId="77777777" w:rsidR="00ED1831" w:rsidRPr="00ED1831" w:rsidRDefault="00ED1831" w:rsidP="00ED1831">
            <w:pPr>
              <w:ind w:left="1296"/>
              <w:rPr>
                <w:rFonts w:ascii="Times New Roman" w:eastAsia="Times New Roman" w:hAnsi="Times New Roman" w:cs="Times New Roman"/>
              </w:rPr>
            </w:pPr>
            <w:r w:rsidRPr="00ED1831">
              <w:rPr>
                <w:rFonts w:ascii="Times New Roman" w:eastAsia="Times New Roman" w:hAnsi="Times New Roman" w:cs="Times New Roman"/>
              </w:rPr>
              <w:t>•</w:t>
            </w:r>
          </w:p>
          <w:p w14:paraId="5849A545"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b/>
                <w:bCs/>
              </w:rPr>
              <w:t>Do not</w:t>
            </w:r>
            <w:r w:rsidRPr="00ED1831">
              <w:rPr>
                <w:rFonts w:ascii="Times New Roman" w:eastAsia="Times New Roman" w:hAnsi="Times New Roman" w:cs="Times New Roman"/>
              </w:rPr>
              <w:t> swallow whole, cut, crush, or chew OXBRYTA tablets for oral suspension.</w:t>
            </w:r>
          </w:p>
          <w:p w14:paraId="1C5631CB" w14:textId="77777777" w:rsidR="00ED1831" w:rsidRPr="00ED1831" w:rsidRDefault="00ED1831" w:rsidP="00ED1831">
            <w:pPr>
              <w:ind w:left="1656"/>
              <w:rPr>
                <w:rFonts w:ascii="Times New Roman" w:eastAsia="Times New Roman" w:hAnsi="Times New Roman" w:cs="Times New Roman"/>
              </w:rPr>
            </w:pPr>
            <w:r w:rsidRPr="00ED1831">
              <w:rPr>
                <w:rFonts w:ascii="Times New Roman" w:eastAsia="Times New Roman" w:hAnsi="Times New Roman" w:cs="Times New Roman"/>
              </w:rPr>
              <w:t>•</w:t>
            </w:r>
          </w:p>
          <w:p w14:paraId="31C0F78A"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You must first mix OXBRYTA tablets for oral suspension in room temperature clear drink, such as drinking water, clear soda, apple juice, clear electrolyte drinks, clear flavored drinks, or clear sports drinks, before swallowing.</w:t>
            </w:r>
          </w:p>
          <w:p w14:paraId="52E524DA" w14:textId="77777777" w:rsidR="00ED1831" w:rsidRPr="00ED1831" w:rsidRDefault="00ED1831" w:rsidP="00ED1831">
            <w:pPr>
              <w:ind w:left="2016"/>
              <w:rPr>
                <w:rFonts w:ascii="Times New Roman" w:eastAsia="Times New Roman" w:hAnsi="Times New Roman" w:cs="Times New Roman"/>
              </w:rPr>
            </w:pPr>
            <w:r w:rsidRPr="00ED1831">
              <w:rPr>
                <w:rFonts w:ascii="Times New Roman" w:eastAsia="Times New Roman" w:hAnsi="Times New Roman" w:cs="Times New Roman"/>
              </w:rPr>
              <w:t>•</w:t>
            </w:r>
          </w:p>
          <w:p w14:paraId="3BC3901E"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b/>
                <w:bCs/>
              </w:rPr>
              <w:t>If you or your child miss a dose of OXBRYTA tablets for oral suspension or if the entire dose is not taken</w:t>
            </w:r>
            <w:r w:rsidRPr="00ED1831">
              <w:rPr>
                <w:rFonts w:ascii="Times New Roman" w:eastAsia="Times New Roman" w:hAnsi="Times New Roman" w:cs="Times New Roman"/>
              </w:rPr>
              <w:t>, skip that dose and return to the normal dosing schedule the next day.</w:t>
            </w:r>
          </w:p>
          <w:p w14:paraId="587CAF54" w14:textId="77777777" w:rsidR="00ED1831" w:rsidRPr="00ED1831" w:rsidRDefault="00ED1831" w:rsidP="00ED1831">
            <w:pPr>
              <w:ind w:left="2376"/>
              <w:rPr>
                <w:rFonts w:ascii="Times New Roman" w:eastAsia="Times New Roman" w:hAnsi="Times New Roman" w:cs="Times New Roman"/>
              </w:rPr>
            </w:pPr>
            <w:r w:rsidRPr="00ED1831">
              <w:rPr>
                <w:rFonts w:ascii="Times New Roman" w:eastAsia="Times New Roman" w:hAnsi="Times New Roman" w:cs="Times New Roman"/>
              </w:rPr>
              <w:t>•</w:t>
            </w:r>
          </w:p>
          <w:p w14:paraId="425F20F4"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For more information about OXBRYTA tablets for oral suspension, see the </w:t>
            </w:r>
            <w:hyperlink r:id="rId119" w:anchor="PI" w:history="1">
              <w:r w:rsidRPr="00ED1831">
                <w:rPr>
                  <w:rFonts w:ascii="Times New Roman" w:eastAsia="Times New Roman" w:hAnsi="Times New Roman" w:cs="Times New Roman"/>
                  <w:color w:val="0000FF"/>
                  <w:u w:val="single"/>
                </w:rPr>
                <w:t>Patient Information</w:t>
              </w:r>
            </w:hyperlink>
            <w:r w:rsidRPr="00ED1831">
              <w:rPr>
                <w:rFonts w:ascii="Times New Roman" w:eastAsia="Times New Roman" w:hAnsi="Times New Roman" w:cs="Times New Roman"/>
              </w:rPr>
              <w:t> leaflet.</w:t>
            </w:r>
          </w:p>
        </w:tc>
      </w:tr>
      <w:tr w:rsidR="00ED1831" w:rsidRPr="00ED1831" w14:paraId="7B682478" w14:textId="77777777" w:rsidTr="00ED1831">
        <w:tc>
          <w:tcPr>
            <w:tcW w:w="0" w:type="auto"/>
            <w:gridSpan w:val="7"/>
            <w:tcBorders>
              <w:top w:val="nil"/>
              <w:left w:val="single" w:sz="6" w:space="0" w:color="000000"/>
              <w:bottom w:val="single" w:sz="6" w:space="0" w:color="000000"/>
              <w:right w:val="single" w:sz="6" w:space="0" w:color="000000"/>
            </w:tcBorders>
            <w:hideMark/>
          </w:tcPr>
          <w:p w14:paraId="0672C124"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lastRenderedPageBreak/>
              <w:t>Gather supplies</w:t>
            </w:r>
          </w:p>
        </w:tc>
      </w:tr>
      <w:tr w:rsidR="00ED1831" w:rsidRPr="00ED1831" w14:paraId="59B028DD" w14:textId="77777777" w:rsidTr="00ED1831">
        <w:tc>
          <w:tcPr>
            <w:tcW w:w="0" w:type="auto"/>
            <w:gridSpan w:val="4"/>
            <w:tcBorders>
              <w:top w:val="nil"/>
              <w:left w:val="single" w:sz="6" w:space="0" w:color="000000"/>
              <w:bottom w:val="single" w:sz="6" w:space="0" w:color="000000"/>
              <w:right w:val="single" w:sz="6" w:space="0" w:color="000000"/>
            </w:tcBorders>
            <w:hideMark/>
          </w:tcPr>
          <w:p w14:paraId="654BF7BE"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You will need the following items to prepare the dose of OXBRYTA tablets for oral suspension (not included with OXBRYTA tablets for oral suspension):</w:t>
            </w:r>
          </w:p>
          <w:p w14:paraId="2E6C204C"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t>•</w:t>
            </w:r>
          </w:p>
          <w:p w14:paraId="051FC926"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a teaspoon</w:t>
            </w:r>
          </w:p>
          <w:p w14:paraId="2F74597F" w14:textId="77777777" w:rsidR="00ED1831" w:rsidRPr="00ED1831" w:rsidRDefault="00ED1831" w:rsidP="00ED1831">
            <w:pPr>
              <w:ind w:left="576"/>
              <w:rPr>
                <w:rFonts w:ascii="Times New Roman" w:eastAsia="Times New Roman" w:hAnsi="Times New Roman" w:cs="Times New Roman"/>
              </w:rPr>
            </w:pPr>
            <w:r w:rsidRPr="00ED1831">
              <w:rPr>
                <w:rFonts w:ascii="Times New Roman" w:eastAsia="Times New Roman" w:hAnsi="Times New Roman" w:cs="Times New Roman"/>
              </w:rPr>
              <w:t>•</w:t>
            </w:r>
          </w:p>
          <w:p w14:paraId="1D9A3ACD"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a small cup</w:t>
            </w:r>
          </w:p>
          <w:p w14:paraId="40CE7FE6" w14:textId="77777777" w:rsidR="00ED1831" w:rsidRPr="00ED1831" w:rsidRDefault="00ED1831" w:rsidP="00ED1831">
            <w:pPr>
              <w:ind w:left="936"/>
              <w:rPr>
                <w:rFonts w:ascii="Times New Roman" w:eastAsia="Times New Roman" w:hAnsi="Times New Roman" w:cs="Times New Roman"/>
              </w:rPr>
            </w:pPr>
            <w:r w:rsidRPr="00ED1831">
              <w:rPr>
                <w:rFonts w:ascii="Times New Roman" w:eastAsia="Times New Roman" w:hAnsi="Times New Roman" w:cs="Times New Roman"/>
              </w:rPr>
              <w:t>•</w:t>
            </w:r>
          </w:p>
          <w:p w14:paraId="4D0D6196"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room temperature clear drink, such as drinking water, clear soda, apple juice, clear electrolyte drinks, clear flavored drinks, or clear sports drinks.</w:t>
            </w:r>
          </w:p>
          <w:p w14:paraId="156598D4"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You will also need:</w:t>
            </w:r>
          </w:p>
          <w:p w14:paraId="75A4AE9D"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t>•</w:t>
            </w:r>
          </w:p>
          <w:p w14:paraId="49CBC6AE"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the prescribed number of OXBRYTA tablets for oral suspension needed for your dose.</w:t>
            </w:r>
          </w:p>
        </w:tc>
        <w:bookmarkStart w:id="186" w:name="id1936"/>
        <w:bookmarkEnd w:id="186"/>
        <w:tc>
          <w:tcPr>
            <w:tcW w:w="0" w:type="auto"/>
            <w:gridSpan w:val="3"/>
            <w:tcBorders>
              <w:top w:val="nil"/>
              <w:left w:val="nil"/>
              <w:bottom w:val="single" w:sz="6" w:space="0" w:color="000000"/>
              <w:right w:val="single" w:sz="6" w:space="0" w:color="000000"/>
            </w:tcBorders>
            <w:hideMark/>
          </w:tcPr>
          <w:p w14:paraId="2991CE9D" w14:textId="64EC0BE5"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fldChar w:fldCharType="begin"/>
            </w:r>
            <w:r w:rsidRPr="00ED1831">
              <w:rPr>
                <w:rFonts w:ascii="Times New Roman" w:eastAsia="Times New Roman" w:hAnsi="Times New Roman" w:cs="Times New Roman"/>
              </w:rPr>
              <w:instrText xml:space="preserve"> INCLUDEPICTURE "https://labeling.pfizer.com/ImageHandler.ashx?id=18748" \* MERGEFORMATINET </w:instrText>
            </w:r>
            <w:r w:rsidRPr="00ED1831">
              <w:rPr>
                <w:rFonts w:ascii="Times New Roman" w:eastAsia="Times New Roman" w:hAnsi="Times New Roman" w:cs="Times New Roman"/>
              </w:rPr>
              <w:fldChar w:fldCharType="separate"/>
            </w:r>
            <w:r w:rsidRPr="00ED1831">
              <w:rPr>
                <w:rFonts w:ascii="Times New Roman" w:eastAsia="Times New Roman" w:hAnsi="Times New Roman" w:cs="Times New Roman"/>
                <w:noProof/>
              </w:rPr>
              <w:drawing>
                <wp:inline distT="0" distB="0" distL="0" distR="0" wp14:anchorId="3C6FF76A" wp14:editId="297ABE87">
                  <wp:extent cx="2828925" cy="3038475"/>
                  <wp:effectExtent l="0" t="0" r="3175" b="0"/>
                  <wp:docPr id="384503523" name="Picture 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2828925" cy="3038475"/>
                          </a:xfrm>
                          <a:prstGeom prst="rect">
                            <a:avLst/>
                          </a:prstGeom>
                          <a:noFill/>
                          <a:ln>
                            <a:noFill/>
                          </a:ln>
                        </pic:spPr>
                      </pic:pic>
                    </a:graphicData>
                  </a:graphic>
                </wp:inline>
              </w:drawing>
            </w:r>
            <w:r w:rsidRPr="00ED1831">
              <w:rPr>
                <w:rFonts w:ascii="Times New Roman" w:eastAsia="Times New Roman" w:hAnsi="Times New Roman" w:cs="Times New Roman"/>
              </w:rPr>
              <w:fldChar w:fldCharType="end"/>
            </w:r>
          </w:p>
        </w:tc>
      </w:tr>
      <w:tr w:rsidR="00ED1831" w:rsidRPr="00ED1831" w14:paraId="1D63A932" w14:textId="77777777" w:rsidTr="00ED1831">
        <w:tc>
          <w:tcPr>
            <w:tcW w:w="0" w:type="auto"/>
            <w:gridSpan w:val="7"/>
            <w:tcBorders>
              <w:top w:val="nil"/>
              <w:left w:val="single" w:sz="6" w:space="0" w:color="000000"/>
              <w:bottom w:val="single" w:sz="6" w:space="0" w:color="000000"/>
              <w:right w:val="single" w:sz="6" w:space="0" w:color="000000"/>
            </w:tcBorders>
            <w:hideMark/>
          </w:tcPr>
          <w:p w14:paraId="561C793B"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Preparing a dose of OXBRYTA tablets for oral suspension</w:t>
            </w:r>
          </w:p>
        </w:tc>
      </w:tr>
      <w:tr w:rsidR="00ED1831" w:rsidRPr="00ED1831" w14:paraId="175862E1" w14:textId="77777777" w:rsidTr="00ED1831">
        <w:tc>
          <w:tcPr>
            <w:tcW w:w="0" w:type="auto"/>
            <w:tcBorders>
              <w:top w:val="nil"/>
              <w:left w:val="single" w:sz="6" w:space="0" w:color="000000"/>
              <w:bottom w:val="single" w:sz="6" w:space="0" w:color="000000"/>
              <w:right w:val="nil"/>
            </w:tcBorders>
            <w:hideMark/>
          </w:tcPr>
          <w:p w14:paraId="135EB810"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Step 1.</w:t>
            </w:r>
          </w:p>
        </w:tc>
        <w:tc>
          <w:tcPr>
            <w:tcW w:w="0" w:type="auto"/>
            <w:gridSpan w:val="6"/>
            <w:tcBorders>
              <w:top w:val="nil"/>
              <w:left w:val="nil"/>
              <w:bottom w:val="single" w:sz="6" w:space="0" w:color="000000"/>
              <w:right w:val="single" w:sz="6" w:space="0" w:color="000000"/>
            </w:tcBorders>
            <w:hideMark/>
          </w:tcPr>
          <w:p w14:paraId="33C7E992"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Wash and dry your hands well before preparing the dose.</w:t>
            </w:r>
          </w:p>
        </w:tc>
      </w:tr>
      <w:tr w:rsidR="00ED1831" w:rsidRPr="00ED1831" w14:paraId="4BCFC326" w14:textId="77777777" w:rsidTr="00ED1831">
        <w:tc>
          <w:tcPr>
            <w:tcW w:w="0" w:type="auto"/>
            <w:tcBorders>
              <w:top w:val="nil"/>
              <w:left w:val="single" w:sz="6" w:space="0" w:color="000000"/>
              <w:bottom w:val="nil"/>
              <w:right w:val="nil"/>
            </w:tcBorders>
            <w:hideMark/>
          </w:tcPr>
          <w:p w14:paraId="34D6073D"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Step 2.</w:t>
            </w:r>
          </w:p>
        </w:tc>
        <w:tc>
          <w:tcPr>
            <w:tcW w:w="0" w:type="auto"/>
            <w:gridSpan w:val="3"/>
            <w:tcBorders>
              <w:top w:val="nil"/>
              <w:left w:val="nil"/>
              <w:bottom w:val="nil"/>
              <w:right w:val="single" w:sz="6" w:space="0" w:color="000000"/>
            </w:tcBorders>
            <w:hideMark/>
          </w:tcPr>
          <w:p w14:paraId="11E07D2A"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Pour room temperature clear drink into the cup. The table below shows the amount of clear drink needed for your prescribed dose. You may add more clear drink if needed to mix the tablets.</w:t>
            </w:r>
          </w:p>
        </w:tc>
        <w:bookmarkStart w:id="187" w:name="id1949"/>
        <w:bookmarkEnd w:id="187"/>
        <w:tc>
          <w:tcPr>
            <w:tcW w:w="0" w:type="auto"/>
            <w:gridSpan w:val="3"/>
            <w:vMerge w:val="restart"/>
            <w:tcBorders>
              <w:top w:val="nil"/>
              <w:left w:val="nil"/>
              <w:bottom w:val="single" w:sz="6" w:space="0" w:color="000000"/>
              <w:right w:val="single" w:sz="6" w:space="0" w:color="000000"/>
            </w:tcBorders>
            <w:vAlign w:val="center"/>
            <w:hideMark/>
          </w:tcPr>
          <w:p w14:paraId="6C2E6B1A" w14:textId="31B1E2B3"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fldChar w:fldCharType="begin"/>
            </w:r>
            <w:r w:rsidRPr="00ED1831">
              <w:rPr>
                <w:rFonts w:ascii="Times New Roman" w:eastAsia="Times New Roman" w:hAnsi="Times New Roman" w:cs="Times New Roman"/>
              </w:rPr>
              <w:instrText xml:space="preserve"> INCLUDEPICTURE "https://labeling.pfizer.com/ImageHandler.ashx?id=18749" \* MERGEFORMATINET </w:instrText>
            </w:r>
            <w:r w:rsidRPr="00ED1831">
              <w:rPr>
                <w:rFonts w:ascii="Times New Roman" w:eastAsia="Times New Roman" w:hAnsi="Times New Roman" w:cs="Times New Roman"/>
              </w:rPr>
              <w:fldChar w:fldCharType="separate"/>
            </w:r>
            <w:r w:rsidRPr="00ED1831">
              <w:rPr>
                <w:rFonts w:ascii="Times New Roman" w:eastAsia="Times New Roman" w:hAnsi="Times New Roman" w:cs="Times New Roman"/>
                <w:noProof/>
              </w:rPr>
              <w:drawing>
                <wp:inline distT="0" distB="0" distL="0" distR="0" wp14:anchorId="2E738416" wp14:editId="4A5B755A">
                  <wp:extent cx="2933700" cy="3200400"/>
                  <wp:effectExtent l="0" t="0" r="0" b="0"/>
                  <wp:docPr id="485901835" name="Picture 7" descr="Ste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p 2"/>
                          <pic:cNvPicPr>
                            <a:picLocks noChangeAspect="1" noChangeArrowheads="1"/>
                          </pic:cNvPicPr>
                        </pic:nvPicPr>
                        <pic:blipFill>
                          <a:blip r:embed="rId121">
                            <a:extLst>
                              <a:ext uri="{28A0092B-C50C-407E-A947-70E740481C1C}">
                                <a14:useLocalDpi xmlns:a14="http://schemas.microsoft.com/office/drawing/2010/main" val="0"/>
                              </a:ext>
                            </a:extLst>
                          </a:blip>
                          <a:srcRect/>
                          <a:stretch>
                            <a:fillRect/>
                          </a:stretch>
                        </pic:blipFill>
                        <pic:spPr bwMode="auto">
                          <a:xfrm>
                            <a:off x="0" y="0"/>
                            <a:ext cx="2933700" cy="3200400"/>
                          </a:xfrm>
                          <a:prstGeom prst="rect">
                            <a:avLst/>
                          </a:prstGeom>
                          <a:noFill/>
                          <a:ln>
                            <a:noFill/>
                          </a:ln>
                        </pic:spPr>
                      </pic:pic>
                    </a:graphicData>
                  </a:graphic>
                </wp:inline>
              </w:drawing>
            </w:r>
            <w:r w:rsidRPr="00ED1831">
              <w:rPr>
                <w:rFonts w:ascii="Times New Roman" w:eastAsia="Times New Roman" w:hAnsi="Times New Roman" w:cs="Times New Roman"/>
              </w:rPr>
              <w:fldChar w:fldCharType="end"/>
            </w:r>
          </w:p>
        </w:tc>
      </w:tr>
      <w:tr w:rsidR="00ED1831" w:rsidRPr="00ED1831" w14:paraId="7FE95C45" w14:textId="77777777" w:rsidTr="00ED1831">
        <w:tc>
          <w:tcPr>
            <w:tcW w:w="0" w:type="auto"/>
            <w:tcBorders>
              <w:top w:val="nil"/>
              <w:left w:val="single" w:sz="6" w:space="0" w:color="000000"/>
              <w:bottom w:val="nil"/>
              <w:right w:val="single" w:sz="6" w:space="0" w:color="000000"/>
            </w:tcBorders>
            <w:hideMark/>
          </w:tcPr>
          <w:p w14:paraId="7C7E68A2" w14:textId="77777777" w:rsidR="00ED1831" w:rsidRPr="00ED1831" w:rsidRDefault="00ED1831" w:rsidP="00ED1831">
            <w:pPr>
              <w:rPr>
                <w:rFonts w:ascii="Times New Roman" w:eastAsia="Times New Roman" w:hAnsi="Times New Roman" w:cs="Times New Roman"/>
              </w:rPr>
            </w:pPr>
          </w:p>
        </w:tc>
        <w:tc>
          <w:tcPr>
            <w:tcW w:w="0" w:type="auto"/>
            <w:tcBorders>
              <w:top w:val="single" w:sz="6" w:space="0" w:color="000000"/>
              <w:left w:val="nil"/>
              <w:bottom w:val="single" w:sz="6" w:space="0" w:color="000000"/>
              <w:right w:val="single" w:sz="6" w:space="0" w:color="000000"/>
            </w:tcBorders>
            <w:hideMark/>
          </w:tcPr>
          <w:p w14:paraId="18811B45"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b/>
                <w:bCs/>
              </w:rPr>
              <w:t>Number of OXBRYTA Tablets for Oral Suspension</w:t>
            </w:r>
          </w:p>
        </w:tc>
        <w:tc>
          <w:tcPr>
            <w:tcW w:w="0" w:type="auto"/>
            <w:tcBorders>
              <w:top w:val="single" w:sz="6" w:space="0" w:color="000000"/>
              <w:left w:val="single" w:sz="6" w:space="0" w:color="000000"/>
              <w:bottom w:val="single" w:sz="6" w:space="0" w:color="000000"/>
              <w:right w:val="single" w:sz="6" w:space="0" w:color="000000"/>
            </w:tcBorders>
            <w:hideMark/>
          </w:tcPr>
          <w:p w14:paraId="2BFFE8AE"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b/>
                <w:bCs/>
              </w:rPr>
              <w:t>Amount of Clear Drink</w:t>
            </w:r>
          </w:p>
        </w:tc>
        <w:tc>
          <w:tcPr>
            <w:tcW w:w="0" w:type="auto"/>
            <w:tcBorders>
              <w:top w:val="nil"/>
              <w:left w:val="nil"/>
              <w:bottom w:val="nil"/>
              <w:right w:val="single" w:sz="6" w:space="0" w:color="000000"/>
            </w:tcBorders>
            <w:vAlign w:val="center"/>
            <w:hideMark/>
          </w:tcPr>
          <w:p w14:paraId="138E210C" w14:textId="77777777" w:rsidR="00ED1831" w:rsidRPr="00ED1831" w:rsidRDefault="00ED1831" w:rsidP="00ED1831">
            <w:pPr>
              <w:rPr>
                <w:rFonts w:ascii="Times New Roman" w:eastAsia="Times New Roman" w:hAnsi="Times New Roman" w:cs="Times New Roman"/>
              </w:rPr>
            </w:pPr>
          </w:p>
        </w:tc>
        <w:tc>
          <w:tcPr>
            <w:tcW w:w="0" w:type="auto"/>
            <w:gridSpan w:val="3"/>
            <w:vMerge/>
            <w:tcBorders>
              <w:top w:val="nil"/>
              <w:left w:val="nil"/>
              <w:bottom w:val="single" w:sz="6" w:space="0" w:color="000000"/>
              <w:right w:val="single" w:sz="6" w:space="0" w:color="000000"/>
            </w:tcBorders>
            <w:vAlign w:val="center"/>
            <w:hideMark/>
          </w:tcPr>
          <w:p w14:paraId="4E9687ED" w14:textId="77777777" w:rsidR="00ED1831" w:rsidRPr="00ED1831" w:rsidRDefault="00ED1831" w:rsidP="00ED1831">
            <w:pPr>
              <w:rPr>
                <w:rFonts w:ascii="Times New Roman" w:eastAsia="Times New Roman" w:hAnsi="Times New Roman" w:cs="Times New Roman"/>
              </w:rPr>
            </w:pPr>
          </w:p>
        </w:tc>
      </w:tr>
      <w:tr w:rsidR="00ED1831" w:rsidRPr="00ED1831" w14:paraId="597F44F3" w14:textId="77777777" w:rsidTr="00ED1831">
        <w:tc>
          <w:tcPr>
            <w:tcW w:w="0" w:type="auto"/>
            <w:tcBorders>
              <w:top w:val="nil"/>
              <w:left w:val="single" w:sz="6" w:space="0" w:color="000000"/>
              <w:bottom w:val="nil"/>
              <w:right w:val="single" w:sz="6" w:space="0" w:color="000000"/>
            </w:tcBorders>
            <w:hideMark/>
          </w:tcPr>
          <w:p w14:paraId="3685C6B7" w14:textId="77777777" w:rsidR="00ED1831" w:rsidRPr="00ED1831" w:rsidRDefault="00ED1831" w:rsidP="00ED1831">
            <w:pPr>
              <w:rPr>
                <w:rFonts w:ascii="Times New Roman" w:eastAsia="Times New Roman" w:hAnsi="Times New Roman" w:cs="Times New Roman"/>
                <w:sz w:val="20"/>
                <w:szCs w:val="20"/>
              </w:rPr>
            </w:pPr>
          </w:p>
        </w:tc>
        <w:tc>
          <w:tcPr>
            <w:tcW w:w="0" w:type="auto"/>
            <w:tcBorders>
              <w:top w:val="single" w:sz="6" w:space="0" w:color="000000"/>
              <w:left w:val="nil"/>
              <w:bottom w:val="single" w:sz="6" w:space="0" w:color="000000"/>
              <w:right w:val="single" w:sz="6" w:space="0" w:color="000000"/>
            </w:tcBorders>
            <w:hideMark/>
          </w:tcPr>
          <w:p w14:paraId="452539DD"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w:t>
            </w:r>
          </w:p>
        </w:tc>
        <w:tc>
          <w:tcPr>
            <w:tcW w:w="0" w:type="auto"/>
            <w:tcBorders>
              <w:top w:val="single" w:sz="6" w:space="0" w:color="000000"/>
              <w:left w:val="single" w:sz="6" w:space="0" w:color="000000"/>
              <w:bottom w:val="single" w:sz="6" w:space="0" w:color="000000"/>
              <w:right w:val="single" w:sz="6" w:space="0" w:color="000000"/>
            </w:tcBorders>
            <w:hideMark/>
          </w:tcPr>
          <w:p w14:paraId="4029B5E4"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1 teaspoon (5 mL)</w:t>
            </w:r>
          </w:p>
        </w:tc>
        <w:tc>
          <w:tcPr>
            <w:tcW w:w="0" w:type="auto"/>
            <w:tcBorders>
              <w:top w:val="nil"/>
              <w:left w:val="nil"/>
              <w:bottom w:val="nil"/>
              <w:right w:val="single" w:sz="6" w:space="0" w:color="000000"/>
            </w:tcBorders>
            <w:vAlign w:val="center"/>
            <w:hideMark/>
          </w:tcPr>
          <w:p w14:paraId="1B33C72B" w14:textId="77777777" w:rsidR="00ED1831" w:rsidRPr="00ED1831" w:rsidRDefault="00ED1831" w:rsidP="00ED1831">
            <w:pPr>
              <w:rPr>
                <w:rFonts w:ascii="Times New Roman" w:eastAsia="Times New Roman" w:hAnsi="Times New Roman" w:cs="Times New Roman"/>
              </w:rPr>
            </w:pPr>
          </w:p>
        </w:tc>
        <w:tc>
          <w:tcPr>
            <w:tcW w:w="0" w:type="auto"/>
            <w:gridSpan w:val="3"/>
            <w:vMerge/>
            <w:tcBorders>
              <w:top w:val="nil"/>
              <w:left w:val="nil"/>
              <w:bottom w:val="single" w:sz="6" w:space="0" w:color="000000"/>
              <w:right w:val="single" w:sz="6" w:space="0" w:color="000000"/>
            </w:tcBorders>
            <w:vAlign w:val="center"/>
            <w:hideMark/>
          </w:tcPr>
          <w:p w14:paraId="2C6C8035" w14:textId="77777777" w:rsidR="00ED1831" w:rsidRPr="00ED1831" w:rsidRDefault="00ED1831" w:rsidP="00ED1831">
            <w:pPr>
              <w:rPr>
                <w:rFonts w:ascii="Times New Roman" w:eastAsia="Times New Roman" w:hAnsi="Times New Roman" w:cs="Times New Roman"/>
              </w:rPr>
            </w:pPr>
          </w:p>
        </w:tc>
      </w:tr>
      <w:tr w:rsidR="00ED1831" w:rsidRPr="00ED1831" w14:paraId="4B884D6F" w14:textId="77777777" w:rsidTr="00ED1831">
        <w:tc>
          <w:tcPr>
            <w:tcW w:w="0" w:type="auto"/>
            <w:tcBorders>
              <w:top w:val="nil"/>
              <w:left w:val="single" w:sz="6" w:space="0" w:color="000000"/>
              <w:bottom w:val="nil"/>
              <w:right w:val="single" w:sz="6" w:space="0" w:color="000000"/>
            </w:tcBorders>
            <w:hideMark/>
          </w:tcPr>
          <w:p w14:paraId="0284F400" w14:textId="77777777" w:rsidR="00ED1831" w:rsidRPr="00ED1831" w:rsidRDefault="00ED1831" w:rsidP="00ED1831">
            <w:pPr>
              <w:rPr>
                <w:rFonts w:ascii="Times New Roman" w:eastAsia="Times New Roman" w:hAnsi="Times New Roman" w:cs="Times New Roman"/>
                <w:sz w:val="20"/>
                <w:szCs w:val="20"/>
              </w:rPr>
            </w:pPr>
          </w:p>
        </w:tc>
        <w:tc>
          <w:tcPr>
            <w:tcW w:w="0" w:type="auto"/>
            <w:tcBorders>
              <w:top w:val="single" w:sz="6" w:space="0" w:color="000000"/>
              <w:left w:val="nil"/>
              <w:bottom w:val="single" w:sz="6" w:space="0" w:color="000000"/>
              <w:right w:val="single" w:sz="6" w:space="0" w:color="000000"/>
            </w:tcBorders>
            <w:hideMark/>
          </w:tcPr>
          <w:p w14:paraId="41914FAF"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2</w:t>
            </w:r>
          </w:p>
        </w:tc>
        <w:tc>
          <w:tcPr>
            <w:tcW w:w="0" w:type="auto"/>
            <w:tcBorders>
              <w:top w:val="single" w:sz="6" w:space="0" w:color="000000"/>
              <w:left w:val="single" w:sz="6" w:space="0" w:color="000000"/>
              <w:bottom w:val="single" w:sz="6" w:space="0" w:color="000000"/>
              <w:right w:val="single" w:sz="6" w:space="0" w:color="000000"/>
            </w:tcBorders>
            <w:hideMark/>
          </w:tcPr>
          <w:p w14:paraId="7EAAC271"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2 teaspoons (10 mL)</w:t>
            </w:r>
          </w:p>
        </w:tc>
        <w:tc>
          <w:tcPr>
            <w:tcW w:w="0" w:type="auto"/>
            <w:tcBorders>
              <w:top w:val="nil"/>
              <w:left w:val="nil"/>
              <w:bottom w:val="nil"/>
              <w:right w:val="single" w:sz="6" w:space="0" w:color="000000"/>
            </w:tcBorders>
            <w:vAlign w:val="center"/>
            <w:hideMark/>
          </w:tcPr>
          <w:p w14:paraId="77F26009" w14:textId="77777777" w:rsidR="00ED1831" w:rsidRPr="00ED1831" w:rsidRDefault="00ED1831" w:rsidP="00ED1831">
            <w:pPr>
              <w:rPr>
                <w:rFonts w:ascii="Times New Roman" w:eastAsia="Times New Roman" w:hAnsi="Times New Roman" w:cs="Times New Roman"/>
              </w:rPr>
            </w:pPr>
          </w:p>
        </w:tc>
        <w:tc>
          <w:tcPr>
            <w:tcW w:w="0" w:type="auto"/>
            <w:gridSpan w:val="3"/>
            <w:vMerge/>
            <w:tcBorders>
              <w:top w:val="nil"/>
              <w:left w:val="nil"/>
              <w:bottom w:val="single" w:sz="6" w:space="0" w:color="000000"/>
              <w:right w:val="single" w:sz="6" w:space="0" w:color="000000"/>
            </w:tcBorders>
            <w:vAlign w:val="center"/>
            <w:hideMark/>
          </w:tcPr>
          <w:p w14:paraId="285B2432" w14:textId="77777777" w:rsidR="00ED1831" w:rsidRPr="00ED1831" w:rsidRDefault="00ED1831" w:rsidP="00ED1831">
            <w:pPr>
              <w:rPr>
                <w:rFonts w:ascii="Times New Roman" w:eastAsia="Times New Roman" w:hAnsi="Times New Roman" w:cs="Times New Roman"/>
              </w:rPr>
            </w:pPr>
          </w:p>
        </w:tc>
      </w:tr>
      <w:tr w:rsidR="00ED1831" w:rsidRPr="00ED1831" w14:paraId="23592554" w14:textId="77777777" w:rsidTr="00ED1831">
        <w:tc>
          <w:tcPr>
            <w:tcW w:w="0" w:type="auto"/>
            <w:tcBorders>
              <w:top w:val="nil"/>
              <w:left w:val="single" w:sz="6" w:space="0" w:color="000000"/>
              <w:bottom w:val="nil"/>
              <w:right w:val="single" w:sz="6" w:space="0" w:color="000000"/>
            </w:tcBorders>
            <w:hideMark/>
          </w:tcPr>
          <w:p w14:paraId="470F68CD" w14:textId="77777777" w:rsidR="00ED1831" w:rsidRPr="00ED1831" w:rsidRDefault="00ED1831" w:rsidP="00ED1831">
            <w:pPr>
              <w:rPr>
                <w:rFonts w:ascii="Times New Roman" w:eastAsia="Times New Roman" w:hAnsi="Times New Roman" w:cs="Times New Roman"/>
                <w:sz w:val="20"/>
                <w:szCs w:val="20"/>
              </w:rPr>
            </w:pPr>
          </w:p>
        </w:tc>
        <w:tc>
          <w:tcPr>
            <w:tcW w:w="0" w:type="auto"/>
            <w:tcBorders>
              <w:top w:val="single" w:sz="6" w:space="0" w:color="000000"/>
              <w:left w:val="nil"/>
              <w:bottom w:val="single" w:sz="6" w:space="0" w:color="000000"/>
              <w:right w:val="single" w:sz="6" w:space="0" w:color="000000"/>
            </w:tcBorders>
            <w:hideMark/>
          </w:tcPr>
          <w:p w14:paraId="35345345"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3</w:t>
            </w:r>
          </w:p>
        </w:tc>
        <w:tc>
          <w:tcPr>
            <w:tcW w:w="0" w:type="auto"/>
            <w:tcBorders>
              <w:top w:val="single" w:sz="6" w:space="0" w:color="000000"/>
              <w:left w:val="single" w:sz="6" w:space="0" w:color="000000"/>
              <w:bottom w:val="single" w:sz="6" w:space="0" w:color="000000"/>
              <w:right w:val="single" w:sz="6" w:space="0" w:color="000000"/>
            </w:tcBorders>
            <w:hideMark/>
          </w:tcPr>
          <w:p w14:paraId="336B4CE4"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3 teaspoons (15 mL)</w:t>
            </w:r>
          </w:p>
        </w:tc>
        <w:tc>
          <w:tcPr>
            <w:tcW w:w="0" w:type="auto"/>
            <w:tcBorders>
              <w:top w:val="nil"/>
              <w:left w:val="nil"/>
              <w:bottom w:val="nil"/>
              <w:right w:val="single" w:sz="6" w:space="0" w:color="000000"/>
            </w:tcBorders>
            <w:vAlign w:val="center"/>
            <w:hideMark/>
          </w:tcPr>
          <w:p w14:paraId="3671A3F7" w14:textId="77777777" w:rsidR="00ED1831" w:rsidRPr="00ED1831" w:rsidRDefault="00ED1831" w:rsidP="00ED1831">
            <w:pPr>
              <w:rPr>
                <w:rFonts w:ascii="Times New Roman" w:eastAsia="Times New Roman" w:hAnsi="Times New Roman" w:cs="Times New Roman"/>
              </w:rPr>
            </w:pPr>
          </w:p>
        </w:tc>
        <w:tc>
          <w:tcPr>
            <w:tcW w:w="0" w:type="auto"/>
            <w:gridSpan w:val="3"/>
            <w:vMerge/>
            <w:tcBorders>
              <w:top w:val="nil"/>
              <w:left w:val="nil"/>
              <w:bottom w:val="single" w:sz="6" w:space="0" w:color="000000"/>
              <w:right w:val="single" w:sz="6" w:space="0" w:color="000000"/>
            </w:tcBorders>
            <w:vAlign w:val="center"/>
            <w:hideMark/>
          </w:tcPr>
          <w:p w14:paraId="40AC0C1A" w14:textId="77777777" w:rsidR="00ED1831" w:rsidRPr="00ED1831" w:rsidRDefault="00ED1831" w:rsidP="00ED1831">
            <w:pPr>
              <w:rPr>
                <w:rFonts w:ascii="Times New Roman" w:eastAsia="Times New Roman" w:hAnsi="Times New Roman" w:cs="Times New Roman"/>
              </w:rPr>
            </w:pPr>
          </w:p>
        </w:tc>
      </w:tr>
      <w:tr w:rsidR="00ED1831" w:rsidRPr="00ED1831" w14:paraId="4B7B9712" w14:textId="77777777" w:rsidTr="00ED1831">
        <w:tc>
          <w:tcPr>
            <w:tcW w:w="0" w:type="auto"/>
            <w:tcBorders>
              <w:top w:val="nil"/>
              <w:left w:val="single" w:sz="6" w:space="0" w:color="000000"/>
              <w:bottom w:val="nil"/>
              <w:right w:val="single" w:sz="6" w:space="0" w:color="000000"/>
            </w:tcBorders>
            <w:hideMark/>
          </w:tcPr>
          <w:p w14:paraId="2DF9BFDD" w14:textId="77777777" w:rsidR="00ED1831" w:rsidRPr="00ED1831" w:rsidRDefault="00ED1831" w:rsidP="00ED1831">
            <w:pPr>
              <w:rPr>
                <w:rFonts w:ascii="Times New Roman" w:eastAsia="Times New Roman" w:hAnsi="Times New Roman" w:cs="Times New Roman"/>
                <w:sz w:val="20"/>
                <w:szCs w:val="20"/>
              </w:rPr>
            </w:pPr>
          </w:p>
        </w:tc>
        <w:tc>
          <w:tcPr>
            <w:tcW w:w="0" w:type="auto"/>
            <w:tcBorders>
              <w:top w:val="single" w:sz="6" w:space="0" w:color="000000"/>
              <w:left w:val="nil"/>
              <w:bottom w:val="single" w:sz="6" w:space="0" w:color="000000"/>
              <w:right w:val="single" w:sz="6" w:space="0" w:color="000000"/>
            </w:tcBorders>
            <w:hideMark/>
          </w:tcPr>
          <w:p w14:paraId="61424B8A"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4</w:t>
            </w:r>
          </w:p>
        </w:tc>
        <w:tc>
          <w:tcPr>
            <w:tcW w:w="0" w:type="auto"/>
            <w:tcBorders>
              <w:top w:val="single" w:sz="6" w:space="0" w:color="000000"/>
              <w:left w:val="single" w:sz="6" w:space="0" w:color="000000"/>
              <w:bottom w:val="single" w:sz="6" w:space="0" w:color="000000"/>
              <w:right w:val="single" w:sz="6" w:space="0" w:color="000000"/>
            </w:tcBorders>
            <w:hideMark/>
          </w:tcPr>
          <w:p w14:paraId="4758C732"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4 teaspoons (20 mL)</w:t>
            </w:r>
          </w:p>
        </w:tc>
        <w:tc>
          <w:tcPr>
            <w:tcW w:w="0" w:type="auto"/>
            <w:tcBorders>
              <w:top w:val="nil"/>
              <w:left w:val="nil"/>
              <w:bottom w:val="nil"/>
              <w:right w:val="single" w:sz="6" w:space="0" w:color="000000"/>
            </w:tcBorders>
            <w:vAlign w:val="center"/>
            <w:hideMark/>
          </w:tcPr>
          <w:p w14:paraId="33DEAFBE" w14:textId="77777777" w:rsidR="00ED1831" w:rsidRPr="00ED1831" w:rsidRDefault="00ED1831" w:rsidP="00ED1831">
            <w:pPr>
              <w:rPr>
                <w:rFonts w:ascii="Times New Roman" w:eastAsia="Times New Roman" w:hAnsi="Times New Roman" w:cs="Times New Roman"/>
              </w:rPr>
            </w:pPr>
          </w:p>
        </w:tc>
        <w:tc>
          <w:tcPr>
            <w:tcW w:w="0" w:type="auto"/>
            <w:gridSpan w:val="3"/>
            <w:vMerge/>
            <w:tcBorders>
              <w:top w:val="nil"/>
              <w:left w:val="nil"/>
              <w:bottom w:val="single" w:sz="6" w:space="0" w:color="000000"/>
              <w:right w:val="single" w:sz="6" w:space="0" w:color="000000"/>
            </w:tcBorders>
            <w:vAlign w:val="center"/>
            <w:hideMark/>
          </w:tcPr>
          <w:p w14:paraId="0108D90E" w14:textId="77777777" w:rsidR="00ED1831" w:rsidRPr="00ED1831" w:rsidRDefault="00ED1831" w:rsidP="00ED1831">
            <w:pPr>
              <w:rPr>
                <w:rFonts w:ascii="Times New Roman" w:eastAsia="Times New Roman" w:hAnsi="Times New Roman" w:cs="Times New Roman"/>
              </w:rPr>
            </w:pPr>
          </w:p>
        </w:tc>
      </w:tr>
      <w:tr w:rsidR="00ED1831" w:rsidRPr="00ED1831" w14:paraId="4308DB08" w14:textId="77777777" w:rsidTr="00ED1831">
        <w:tc>
          <w:tcPr>
            <w:tcW w:w="0" w:type="auto"/>
            <w:tcBorders>
              <w:top w:val="nil"/>
              <w:left w:val="single" w:sz="6" w:space="0" w:color="000000"/>
              <w:bottom w:val="nil"/>
              <w:right w:val="single" w:sz="6" w:space="0" w:color="000000"/>
            </w:tcBorders>
            <w:hideMark/>
          </w:tcPr>
          <w:p w14:paraId="5F5F7517" w14:textId="77777777" w:rsidR="00ED1831" w:rsidRPr="00ED1831" w:rsidRDefault="00ED1831" w:rsidP="00ED1831">
            <w:pPr>
              <w:rPr>
                <w:rFonts w:ascii="Times New Roman" w:eastAsia="Times New Roman" w:hAnsi="Times New Roman" w:cs="Times New Roman"/>
                <w:sz w:val="20"/>
                <w:szCs w:val="20"/>
              </w:rPr>
            </w:pPr>
          </w:p>
        </w:tc>
        <w:tc>
          <w:tcPr>
            <w:tcW w:w="0" w:type="auto"/>
            <w:tcBorders>
              <w:top w:val="single" w:sz="6" w:space="0" w:color="000000"/>
              <w:left w:val="nil"/>
              <w:bottom w:val="single" w:sz="6" w:space="0" w:color="000000"/>
              <w:right w:val="single" w:sz="6" w:space="0" w:color="000000"/>
            </w:tcBorders>
            <w:hideMark/>
          </w:tcPr>
          <w:p w14:paraId="6C1BD9B5"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5</w:t>
            </w:r>
          </w:p>
        </w:tc>
        <w:tc>
          <w:tcPr>
            <w:tcW w:w="0" w:type="auto"/>
            <w:tcBorders>
              <w:top w:val="single" w:sz="6" w:space="0" w:color="000000"/>
              <w:left w:val="single" w:sz="6" w:space="0" w:color="000000"/>
              <w:bottom w:val="single" w:sz="6" w:space="0" w:color="000000"/>
              <w:right w:val="single" w:sz="6" w:space="0" w:color="000000"/>
            </w:tcBorders>
            <w:hideMark/>
          </w:tcPr>
          <w:p w14:paraId="037BD33E"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5 teaspoons (25 mL)</w:t>
            </w:r>
          </w:p>
        </w:tc>
        <w:tc>
          <w:tcPr>
            <w:tcW w:w="0" w:type="auto"/>
            <w:tcBorders>
              <w:top w:val="nil"/>
              <w:left w:val="nil"/>
              <w:bottom w:val="nil"/>
              <w:right w:val="single" w:sz="6" w:space="0" w:color="000000"/>
            </w:tcBorders>
            <w:vAlign w:val="center"/>
            <w:hideMark/>
          </w:tcPr>
          <w:p w14:paraId="4063A6F3" w14:textId="77777777" w:rsidR="00ED1831" w:rsidRPr="00ED1831" w:rsidRDefault="00ED1831" w:rsidP="00ED1831">
            <w:pPr>
              <w:rPr>
                <w:rFonts w:ascii="Times New Roman" w:eastAsia="Times New Roman" w:hAnsi="Times New Roman" w:cs="Times New Roman"/>
              </w:rPr>
            </w:pPr>
          </w:p>
        </w:tc>
        <w:tc>
          <w:tcPr>
            <w:tcW w:w="0" w:type="auto"/>
            <w:gridSpan w:val="3"/>
            <w:vMerge/>
            <w:tcBorders>
              <w:top w:val="nil"/>
              <w:left w:val="nil"/>
              <w:bottom w:val="single" w:sz="6" w:space="0" w:color="000000"/>
              <w:right w:val="single" w:sz="6" w:space="0" w:color="000000"/>
            </w:tcBorders>
            <w:vAlign w:val="center"/>
            <w:hideMark/>
          </w:tcPr>
          <w:p w14:paraId="4A087F4F" w14:textId="77777777" w:rsidR="00ED1831" w:rsidRPr="00ED1831" w:rsidRDefault="00ED1831" w:rsidP="00ED1831">
            <w:pPr>
              <w:rPr>
                <w:rFonts w:ascii="Times New Roman" w:eastAsia="Times New Roman" w:hAnsi="Times New Roman" w:cs="Times New Roman"/>
              </w:rPr>
            </w:pPr>
          </w:p>
        </w:tc>
      </w:tr>
      <w:tr w:rsidR="00ED1831" w:rsidRPr="00ED1831" w14:paraId="565CE02B" w14:textId="77777777" w:rsidTr="00ED1831">
        <w:tc>
          <w:tcPr>
            <w:tcW w:w="0" w:type="auto"/>
            <w:tcBorders>
              <w:top w:val="nil"/>
              <w:left w:val="single" w:sz="6" w:space="0" w:color="000000"/>
              <w:bottom w:val="nil"/>
              <w:right w:val="single" w:sz="6" w:space="0" w:color="000000"/>
            </w:tcBorders>
            <w:hideMark/>
          </w:tcPr>
          <w:p w14:paraId="45C799DF" w14:textId="77777777" w:rsidR="00ED1831" w:rsidRPr="00ED1831" w:rsidRDefault="00ED1831" w:rsidP="00ED1831">
            <w:pPr>
              <w:rPr>
                <w:rFonts w:ascii="Times New Roman" w:eastAsia="Times New Roman" w:hAnsi="Times New Roman" w:cs="Times New Roman"/>
                <w:sz w:val="20"/>
                <w:szCs w:val="20"/>
              </w:rPr>
            </w:pPr>
          </w:p>
        </w:tc>
        <w:tc>
          <w:tcPr>
            <w:tcW w:w="0" w:type="auto"/>
            <w:tcBorders>
              <w:top w:val="single" w:sz="6" w:space="0" w:color="000000"/>
              <w:left w:val="nil"/>
              <w:bottom w:val="single" w:sz="6" w:space="0" w:color="000000"/>
              <w:right w:val="single" w:sz="6" w:space="0" w:color="000000"/>
            </w:tcBorders>
            <w:hideMark/>
          </w:tcPr>
          <w:p w14:paraId="1566E34B"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7</w:t>
            </w:r>
          </w:p>
        </w:tc>
        <w:tc>
          <w:tcPr>
            <w:tcW w:w="0" w:type="auto"/>
            <w:tcBorders>
              <w:top w:val="single" w:sz="6" w:space="0" w:color="000000"/>
              <w:left w:val="single" w:sz="6" w:space="0" w:color="000000"/>
              <w:bottom w:val="single" w:sz="6" w:space="0" w:color="000000"/>
              <w:right w:val="single" w:sz="6" w:space="0" w:color="000000"/>
            </w:tcBorders>
            <w:hideMark/>
          </w:tcPr>
          <w:p w14:paraId="272A8193"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7 teaspoons (35 mL)</w:t>
            </w:r>
          </w:p>
        </w:tc>
        <w:tc>
          <w:tcPr>
            <w:tcW w:w="0" w:type="auto"/>
            <w:tcBorders>
              <w:top w:val="nil"/>
              <w:left w:val="nil"/>
              <w:bottom w:val="nil"/>
              <w:right w:val="single" w:sz="6" w:space="0" w:color="000000"/>
            </w:tcBorders>
            <w:vAlign w:val="center"/>
            <w:hideMark/>
          </w:tcPr>
          <w:p w14:paraId="24B9A943" w14:textId="77777777" w:rsidR="00ED1831" w:rsidRPr="00ED1831" w:rsidRDefault="00ED1831" w:rsidP="00ED1831">
            <w:pPr>
              <w:rPr>
                <w:rFonts w:ascii="Times New Roman" w:eastAsia="Times New Roman" w:hAnsi="Times New Roman" w:cs="Times New Roman"/>
              </w:rPr>
            </w:pPr>
          </w:p>
        </w:tc>
        <w:tc>
          <w:tcPr>
            <w:tcW w:w="0" w:type="auto"/>
            <w:gridSpan w:val="3"/>
            <w:vMerge/>
            <w:tcBorders>
              <w:top w:val="nil"/>
              <w:left w:val="nil"/>
              <w:bottom w:val="single" w:sz="6" w:space="0" w:color="000000"/>
              <w:right w:val="single" w:sz="6" w:space="0" w:color="000000"/>
            </w:tcBorders>
            <w:vAlign w:val="center"/>
            <w:hideMark/>
          </w:tcPr>
          <w:p w14:paraId="019F4669" w14:textId="77777777" w:rsidR="00ED1831" w:rsidRPr="00ED1831" w:rsidRDefault="00ED1831" w:rsidP="00ED1831">
            <w:pPr>
              <w:rPr>
                <w:rFonts w:ascii="Times New Roman" w:eastAsia="Times New Roman" w:hAnsi="Times New Roman" w:cs="Times New Roman"/>
              </w:rPr>
            </w:pPr>
          </w:p>
        </w:tc>
      </w:tr>
      <w:tr w:rsidR="00ED1831" w:rsidRPr="00ED1831" w14:paraId="3573197B" w14:textId="77777777" w:rsidTr="00ED1831">
        <w:tc>
          <w:tcPr>
            <w:tcW w:w="0" w:type="auto"/>
            <w:tcBorders>
              <w:top w:val="nil"/>
              <w:left w:val="single" w:sz="6" w:space="0" w:color="000000"/>
              <w:bottom w:val="nil"/>
              <w:right w:val="single" w:sz="6" w:space="0" w:color="000000"/>
            </w:tcBorders>
            <w:hideMark/>
          </w:tcPr>
          <w:p w14:paraId="4410AA0A" w14:textId="77777777" w:rsidR="00ED1831" w:rsidRPr="00ED1831" w:rsidRDefault="00ED1831" w:rsidP="00ED1831">
            <w:pPr>
              <w:rPr>
                <w:rFonts w:ascii="Times New Roman" w:eastAsia="Times New Roman" w:hAnsi="Times New Roman" w:cs="Times New Roman"/>
                <w:sz w:val="20"/>
                <w:szCs w:val="20"/>
              </w:rPr>
            </w:pPr>
          </w:p>
        </w:tc>
        <w:tc>
          <w:tcPr>
            <w:tcW w:w="0" w:type="auto"/>
            <w:tcBorders>
              <w:top w:val="single" w:sz="6" w:space="0" w:color="000000"/>
              <w:left w:val="nil"/>
              <w:bottom w:val="single" w:sz="6" w:space="0" w:color="000000"/>
              <w:right w:val="single" w:sz="6" w:space="0" w:color="000000"/>
            </w:tcBorders>
            <w:hideMark/>
          </w:tcPr>
          <w:p w14:paraId="4E580D76"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8</w:t>
            </w:r>
          </w:p>
        </w:tc>
        <w:tc>
          <w:tcPr>
            <w:tcW w:w="0" w:type="auto"/>
            <w:tcBorders>
              <w:top w:val="single" w:sz="6" w:space="0" w:color="000000"/>
              <w:left w:val="single" w:sz="6" w:space="0" w:color="000000"/>
              <w:bottom w:val="single" w:sz="6" w:space="0" w:color="000000"/>
              <w:right w:val="single" w:sz="6" w:space="0" w:color="000000"/>
            </w:tcBorders>
            <w:hideMark/>
          </w:tcPr>
          <w:p w14:paraId="23093AD1" w14:textId="77777777" w:rsidR="00ED1831" w:rsidRPr="00ED1831" w:rsidRDefault="00ED1831" w:rsidP="00ED1831">
            <w:pPr>
              <w:jc w:val="center"/>
              <w:rPr>
                <w:rFonts w:ascii="Times New Roman" w:eastAsia="Times New Roman" w:hAnsi="Times New Roman" w:cs="Times New Roman"/>
              </w:rPr>
            </w:pPr>
            <w:r w:rsidRPr="00ED1831">
              <w:rPr>
                <w:rFonts w:ascii="Times New Roman" w:eastAsia="Times New Roman" w:hAnsi="Times New Roman" w:cs="Times New Roman"/>
              </w:rPr>
              <w:t>8 teaspoons (40 mL)</w:t>
            </w:r>
          </w:p>
        </w:tc>
        <w:tc>
          <w:tcPr>
            <w:tcW w:w="0" w:type="auto"/>
            <w:tcBorders>
              <w:top w:val="nil"/>
              <w:left w:val="nil"/>
              <w:bottom w:val="nil"/>
              <w:right w:val="single" w:sz="6" w:space="0" w:color="000000"/>
            </w:tcBorders>
            <w:vAlign w:val="center"/>
            <w:hideMark/>
          </w:tcPr>
          <w:p w14:paraId="34221A53" w14:textId="77777777" w:rsidR="00ED1831" w:rsidRPr="00ED1831" w:rsidRDefault="00ED1831" w:rsidP="00ED1831">
            <w:pPr>
              <w:rPr>
                <w:rFonts w:ascii="Times New Roman" w:eastAsia="Times New Roman" w:hAnsi="Times New Roman" w:cs="Times New Roman"/>
              </w:rPr>
            </w:pPr>
          </w:p>
        </w:tc>
        <w:tc>
          <w:tcPr>
            <w:tcW w:w="0" w:type="auto"/>
            <w:gridSpan w:val="3"/>
            <w:vMerge/>
            <w:tcBorders>
              <w:top w:val="nil"/>
              <w:left w:val="nil"/>
              <w:bottom w:val="single" w:sz="6" w:space="0" w:color="000000"/>
              <w:right w:val="single" w:sz="6" w:space="0" w:color="000000"/>
            </w:tcBorders>
            <w:vAlign w:val="center"/>
            <w:hideMark/>
          </w:tcPr>
          <w:p w14:paraId="1B58B70C" w14:textId="77777777" w:rsidR="00ED1831" w:rsidRPr="00ED1831" w:rsidRDefault="00ED1831" w:rsidP="00ED1831">
            <w:pPr>
              <w:rPr>
                <w:rFonts w:ascii="Times New Roman" w:eastAsia="Times New Roman" w:hAnsi="Times New Roman" w:cs="Times New Roman"/>
              </w:rPr>
            </w:pPr>
          </w:p>
        </w:tc>
      </w:tr>
      <w:tr w:rsidR="00ED1831" w:rsidRPr="00ED1831" w14:paraId="40B174B6" w14:textId="77777777" w:rsidTr="00ED1831">
        <w:tc>
          <w:tcPr>
            <w:tcW w:w="0" w:type="auto"/>
            <w:gridSpan w:val="4"/>
            <w:tcBorders>
              <w:top w:val="nil"/>
              <w:left w:val="single" w:sz="6" w:space="0" w:color="000000"/>
              <w:bottom w:val="single" w:sz="6" w:space="0" w:color="000000"/>
              <w:right w:val="single" w:sz="6" w:space="0" w:color="000000"/>
            </w:tcBorders>
            <w:hideMark/>
          </w:tcPr>
          <w:p w14:paraId="1BA56086"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   </w:t>
            </w:r>
            <w:r w:rsidRPr="00ED1831">
              <w:rPr>
                <w:rFonts w:ascii="Times New Roman" w:eastAsia="Times New Roman" w:hAnsi="Times New Roman" w:cs="Times New Roman"/>
              </w:rPr>
              <w:br/>
              <w:t>   </w:t>
            </w:r>
          </w:p>
        </w:tc>
        <w:tc>
          <w:tcPr>
            <w:tcW w:w="0" w:type="auto"/>
            <w:gridSpan w:val="3"/>
            <w:vMerge/>
            <w:tcBorders>
              <w:top w:val="nil"/>
              <w:left w:val="nil"/>
              <w:bottom w:val="single" w:sz="6" w:space="0" w:color="000000"/>
              <w:right w:val="single" w:sz="6" w:space="0" w:color="000000"/>
            </w:tcBorders>
            <w:vAlign w:val="center"/>
            <w:hideMark/>
          </w:tcPr>
          <w:p w14:paraId="3274AA2E" w14:textId="77777777" w:rsidR="00ED1831" w:rsidRPr="00ED1831" w:rsidRDefault="00ED1831" w:rsidP="00ED1831">
            <w:pPr>
              <w:rPr>
                <w:rFonts w:ascii="Times New Roman" w:eastAsia="Times New Roman" w:hAnsi="Times New Roman" w:cs="Times New Roman"/>
              </w:rPr>
            </w:pPr>
          </w:p>
        </w:tc>
      </w:tr>
      <w:tr w:rsidR="00ED1831" w:rsidRPr="00ED1831" w14:paraId="54D4F061" w14:textId="77777777" w:rsidTr="00ED1831">
        <w:tc>
          <w:tcPr>
            <w:tcW w:w="0" w:type="auto"/>
            <w:tcBorders>
              <w:top w:val="single" w:sz="6" w:space="0" w:color="000000"/>
              <w:left w:val="single" w:sz="6" w:space="0" w:color="000000"/>
              <w:bottom w:val="single" w:sz="6" w:space="0" w:color="000000"/>
              <w:right w:val="nil"/>
            </w:tcBorders>
            <w:hideMark/>
          </w:tcPr>
          <w:p w14:paraId="72D74753"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Step 3.</w:t>
            </w:r>
          </w:p>
        </w:tc>
        <w:tc>
          <w:tcPr>
            <w:tcW w:w="0" w:type="auto"/>
            <w:gridSpan w:val="3"/>
            <w:tcBorders>
              <w:top w:val="nil"/>
              <w:left w:val="nil"/>
              <w:bottom w:val="single" w:sz="6" w:space="0" w:color="000000"/>
              <w:right w:val="single" w:sz="6" w:space="0" w:color="000000"/>
            </w:tcBorders>
            <w:hideMark/>
          </w:tcPr>
          <w:p w14:paraId="47D839DB"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Add the prescribed number of OXBRYTA tablets for oral suspension into the cup.</w:t>
            </w:r>
          </w:p>
        </w:tc>
        <w:bookmarkStart w:id="188" w:name="id1999"/>
        <w:bookmarkEnd w:id="188"/>
        <w:tc>
          <w:tcPr>
            <w:tcW w:w="0" w:type="auto"/>
            <w:gridSpan w:val="3"/>
            <w:tcBorders>
              <w:top w:val="nil"/>
              <w:left w:val="nil"/>
              <w:bottom w:val="single" w:sz="6" w:space="0" w:color="000000"/>
              <w:right w:val="single" w:sz="6" w:space="0" w:color="000000"/>
            </w:tcBorders>
            <w:hideMark/>
          </w:tcPr>
          <w:p w14:paraId="4D306664" w14:textId="793766ED"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fldChar w:fldCharType="begin"/>
            </w:r>
            <w:r w:rsidRPr="00ED1831">
              <w:rPr>
                <w:rFonts w:ascii="Times New Roman" w:eastAsia="Times New Roman" w:hAnsi="Times New Roman" w:cs="Times New Roman"/>
              </w:rPr>
              <w:instrText xml:space="preserve"> INCLUDEPICTURE "https://labeling.pfizer.com/ImageHandler.ashx?id=18750" \* MERGEFORMATINET </w:instrText>
            </w:r>
            <w:r w:rsidRPr="00ED1831">
              <w:rPr>
                <w:rFonts w:ascii="Times New Roman" w:eastAsia="Times New Roman" w:hAnsi="Times New Roman" w:cs="Times New Roman"/>
              </w:rPr>
              <w:fldChar w:fldCharType="separate"/>
            </w:r>
            <w:r w:rsidRPr="00ED1831">
              <w:rPr>
                <w:rFonts w:ascii="Times New Roman" w:eastAsia="Times New Roman" w:hAnsi="Times New Roman" w:cs="Times New Roman"/>
                <w:noProof/>
              </w:rPr>
              <w:drawing>
                <wp:inline distT="0" distB="0" distL="0" distR="0" wp14:anchorId="209F0D05" wp14:editId="57C9F135">
                  <wp:extent cx="2171700" cy="2743200"/>
                  <wp:effectExtent l="0" t="0" r="0" b="0"/>
                  <wp:docPr id="1884815684" name="Picture 6" descr="Step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tep 3"/>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2171700" cy="2743200"/>
                          </a:xfrm>
                          <a:prstGeom prst="rect">
                            <a:avLst/>
                          </a:prstGeom>
                          <a:noFill/>
                          <a:ln>
                            <a:noFill/>
                          </a:ln>
                        </pic:spPr>
                      </pic:pic>
                    </a:graphicData>
                  </a:graphic>
                </wp:inline>
              </w:drawing>
            </w:r>
            <w:r w:rsidRPr="00ED1831">
              <w:rPr>
                <w:rFonts w:ascii="Times New Roman" w:eastAsia="Times New Roman" w:hAnsi="Times New Roman" w:cs="Times New Roman"/>
              </w:rPr>
              <w:fldChar w:fldCharType="end"/>
            </w:r>
          </w:p>
        </w:tc>
      </w:tr>
      <w:tr w:rsidR="00ED1831" w:rsidRPr="00ED1831" w14:paraId="738BDC83" w14:textId="77777777" w:rsidTr="00ED1831">
        <w:tc>
          <w:tcPr>
            <w:tcW w:w="0" w:type="auto"/>
            <w:tcBorders>
              <w:top w:val="nil"/>
              <w:left w:val="single" w:sz="6" w:space="0" w:color="000000"/>
              <w:bottom w:val="single" w:sz="6" w:space="0" w:color="000000"/>
              <w:right w:val="nil"/>
            </w:tcBorders>
            <w:hideMark/>
          </w:tcPr>
          <w:p w14:paraId="0816A237"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lastRenderedPageBreak/>
              <w:t>Step 4.</w:t>
            </w:r>
          </w:p>
        </w:tc>
        <w:tc>
          <w:tcPr>
            <w:tcW w:w="0" w:type="auto"/>
            <w:gridSpan w:val="3"/>
            <w:tcBorders>
              <w:top w:val="nil"/>
              <w:left w:val="nil"/>
              <w:bottom w:val="single" w:sz="6" w:space="0" w:color="000000"/>
              <w:right w:val="single" w:sz="6" w:space="0" w:color="000000"/>
            </w:tcBorders>
            <w:hideMark/>
          </w:tcPr>
          <w:p w14:paraId="6759DDD0"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Swirl the cup until the tablet(s) break apart (disperse) in the drink. </w:t>
            </w:r>
            <w:r w:rsidRPr="00ED1831">
              <w:rPr>
                <w:rFonts w:ascii="Times New Roman" w:eastAsia="Times New Roman" w:hAnsi="Times New Roman" w:cs="Times New Roman"/>
                <w:b/>
                <w:bCs/>
              </w:rPr>
              <w:t>Be careful not</w:t>
            </w:r>
            <w:r w:rsidRPr="00ED1831">
              <w:rPr>
                <w:rFonts w:ascii="Times New Roman" w:eastAsia="Times New Roman" w:hAnsi="Times New Roman" w:cs="Times New Roman"/>
              </w:rPr>
              <w:t> to spill the mixture.</w:t>
            </w:r>
          </w:p>
          <w:p w14:paraId="7D9F597D"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t>•</w:t>
            </w:r>
          </w:p>
          <w:p w14:paraId="653903F3"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The tablet(s) will not completely dissolve. You will still see small tablet clumps in the mixture.</w:t>
            </w:r>
          </w:p>
          <w:p w14:paraId="57595E90" w14:textId="77777777" w:rsidR="00ED1831" w:rsidRPr="00ED1831" w:rsidRDefault="00ED1831" w:rsidP="00ED1831">
            <w:pPr>
              <w:ind w:left="576"/>
              <w:rPr>
                <w:rFonts w:ascii="Times New Roman" w:eastAsia="Times New Roman" w:hAnsi="Times New Roman" w:cs="Times New Roman"/>
              </w:rPr>
            </w:pPr>
            <w:r w:rsidRPr="00ED1831">
              <w:rPr>
                <w:rFonts w:ascii="Times New Roman" w:eastAsia="Times New Roman" w:hAnsi="Times New Roman" w:cs="Times New Roman"/>
              </w:rPr>
              <w:t>•</w:t>
            </w:r>
          </w:p>
          <w:p w14:paraId="1A8D99A0"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If you spill any medicine, clean up the spill. Throw away the rest of the prepared medicine and make a new dose.</w:t>
            </w:r>
          </w:p>
        </w:tc>
        <w:bookmarkStart w:id="189" w:name="id2009"/>
        <w:bookmarkEnd w:id="189"/>
        <w:tc>
          <w:tcPr>
            <w:tcW w:w="0" w:type="auto"/>
            <w:gridSpan w:val="3"/>
            <w:tcBorders>
              <w:top w:val="nil"/>
              <w:left w:val="nil"/>
              <w:bottom w:val="single" w:sz="6" w:space="0" w:color="000000"/>
              <w:right w:val="single" w:sz="6" w:space="0" w:color="000000"/>
            </w:tcBorders>
            <w:hideMark/>
          </w:tcPr>
          <w:p w14:paraId="454B4466" w14:textId="13B7381F"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fldChar w:fldCharType="begin"/>
            </w:r>
            <w:r w:rsidRPr="00ED1831">
              <w:rPr>
                <w:rFonts w:ascii="Times New Roman" w:eastAsia="Times New Roman" w:hAnsi="Times New Roman" w:cs="Times New Roman"/>
              </w:rPr>
              <w:instrText xml:space="preserve"> INCLUDEPICTURE "https://labeling.pfizer.com/ImageHandler.ashx?id=18751" \* MERGEFORMATINET </w:instrText>
            </w:r>
            <w:r w:rsidRPr="00ED1831">
              <w:rPr>
                <w:rFonts w:ascii="Times New Roman" w:eastAsia="Times New Roman" w:hAnsi="Times New Roman" w:cs="Times New Roman"/>
              </w:rPr>
              <w:fldChar w:fldCharType="separate"/>
            </w:r>
            <w:r w:rsidRPr="00ED1831">
              <w:rPr>
                <w:rFonts w:ascii="Times New Roman" w:eastAsia="Times New Roman" w:hAnsi="Times New Roman" w:cs="Times New Roman"/>
                <w:noProof/>
              </w:rPr>
              <w:drawing>
                <wp:inline distT="0" distB="0" distL="0" distR="0" wp14:anchorId="10C3482B" wp14:editId="49C7DEB2">
                  <wp:extent cx="1676400" cy="2600325"/>
                  <wp:effectExtent l="0" t="0" r="0" b="3175"/>
                  <wp:docPr id="1808346125" name="Picture 5" descr="Ste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tep 4"/>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1676400" cy="2600325"/>
                          </a:xfrm>
                          <a:prstGeom prst="rect">
                            <a:avLst/>
                          </a:prstGeom>
                          <a:noFill/>
                          <a:ln>
                            <a:noFill/>
                          </a:ln>
                        </pic:spPr>
                      </pic:pic>
                    </a:graphicData>
                  </a:graphic>
                </wp:inline>
              </w:drawing>
            </w:r>
            <w:r w:rsidRPr="00ED1831">
              <w:rPr>
                <w:rFonts w:ascii="Times New Roman" w:eastAsia="Times New Roman" w:hAnsi="Times New Roman" w:cs="Times New Roman"/>
              </w:rPr>
              <w:fldChar w:fldCharType="end"/>
            </w:r>
          </w:p>
        </w:tc>
      </w:tr>
      <w:tr w:rsidR="00ED1831" w:rsidRPr="00ED1831" w14:paraId="5F7A6538" w14:textId="77777777" w:rsidTr="00ED1831">
        <w:tc>
          <w:tcPr>
            <w:tcW w:w="0" w:type="auto"/>
            <w:tcBorders>
              <w:top w:val="nil"/>
              <w:left w:val="single" w:sz="6" w:space="0" w:color="000000"/>
              <w:bottom w:val="single" w:sz="6" w:space="0" w:color="000000"/>
              <w:right w:val="nil"/>
            </w:tcBorders>
            <w:hideMark/>
          </w:tcPr>
          <w:p w14:paraId="5797772A"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Step 5.</w:t>
            </w:r>
          </w:p>
        </w:tc>
        <w:tc>
          <w:tcPr>
            <w:tcW w:w="0" w:type="auto"/>
            <w:gridSpan w:val="3"/>
            <w:tcBorders>
              <w:top w:val="nil"/>
              <w:left w:val="nil"/>
              <w:bottom w:val="single" w:sz="6" w:space="0" w:color="000000"/>
              <w:right w:val="single" w:sz="6" w:space="0" w:color="000000"/>
            </w:tcBorders>
            <w:hideMark/>
          </w:tcPr>
          <w:p w14:paraId="68C35D8C"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Wait for 1 to 5 minutes.</w:t>
            </w:r>
          </w:p>
        </w:tc>
        <w:bookmarkStart w:id="190" w:name="id2015"/>
        <w:bookmarkEnd w:id="190"/>
        <w:tc>
          <w:tcPr>
            <w:tcW w:w="0" w:type="auto"/>
            <w:gridSpan w:val="3"/>
            <w:tcBorders>
              <w:top w:val="nil"/>
              <w:left w:val="nil"/>
              <w:bottom w:val="single" w:sz="6" w:space="0" w:color="000000"/>
              <w:right w:val="single" w:sz="6" w:space="0" w:color="000000"/>
            </w:tcBorders>
            <w:hideMark/>
          </w:tcPr>
          <w:p w14:paraId="29E8B527" w14:textId="495772B9"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fldChar w:fldCharType="begin"/>
            </w:r>
            <w:r w:rsidRPr="00ED1831">
              <w:rPr>
                <w:rFonts w:ascii="Times New Roman" w:eastAsia="Times New Roman" w:hAnsi="Times New Roman" w:cs="Times New Roman"/>
              </w:rPr>
              <w:instrText xml:space="preserve"> INCLUDEPICTURE "https://labeling.pfizer.com/ImageHandler.ashx?id=18752" \* MERGEFORMATINET </w:instrText>
            </w:r>
            <w:r w:rsidRPr="00ED1831">
              <w:rPr>
                <w:rFonts w:ascii="Times New Roman" w:eastAsia="Times New Roman" w:hAnsi="Times New Roman" w:cs="Times New Roman"/>
              </w:rPr>
              <w:fldChar w:fldCharType="separate"/>
            </w:r>
            <w:r w:rsidRPr="00ED1831">
              <w:rPr>
                <w:rFonts w:ascii="Times New Roman" w:eastAsia="Times New Roman" w:hAnsi="Times New Roman" w:cs="Times New Roman"/>
                <w:noProof/>
              </w:rPr>
              <w:drawing>
                <wp:inline distT="0" distB="0" distL="0" distR="0" wp14:anchorId="2EB45ACF" wp14:editId="41392BF0">
                  <wp:extent cx="1704975" cy="1905000"/>
                  <wp:effectExtent l="0" t="0" r="0" b="0"/>
                  <wp:docPr id="241807962" name="Picture 4" descr="Ste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tep 5"/>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1704975" cy="1905000"/>
                          </a:xfrm>
                          <a:prstGeom prst="rect">
                            <a:avLst/>
                          </a:prstGeom>
                          <a:noFill/>
                          <a:ln>
                            <a:noFill/>
                          </a:ln>
                        </pic:spPr>
                      </pic:pic>
                    </a:graphicData>
                  </a:graphic>
                </wp:inline>
              </w:drawing>
            </w:r>
            <w:r w:rsidRPr="00ED1831">
              <w:rPr>
                <w:rFonts w:ascii="Times New Roman" w:eastAsia="Times New Roman" w:hAnsi="Times New Roman" w:cs="Times New Roman"/>
              </w:rPr>
              <w:fldChar w:fldCharType="end"/>
            </w:r>
          </w:p>
        </w:tc>
      </w:tr>
      <w:tr w:rsidR="00ED1831" w:rsidRPr="00ED1831" w14:paraId="49C33790" w14:textId="77777777" w:rsidTr="00ED1831">
        <w:tc>
          <w:tcPr>
            <w:tcW w:w="0" w:type="auto"/>
            <w:gridSpan w:val="7"/>
            <w:tcBorders>
              <w:top w:val="nil"/>
              <w:left w:val="single" w:sz="6" w:space="0" w:color="000000"/>
              <w:bottom w:val="single" w:sz="6" w:space="0" w:color="000000"/>
              <w:right w:val="single" w:sz="6" w:space="0" w:color="000000"/>
            </w:tcBorders>
            <w:hideMark/>
          </w:tcPr>
          <w:p w14:paraId="7589FD31"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Giving the dose</w:t>
            </w:r>
          </w:p>
        </w:tc>
      </w:tr>
      <w:tr w:rsidR="00ED1831" w:rsidRPr="00ED1831" w14:paraId="4A69E0CA" w14:textId="77777777" w:rsidTr="00ED1831">
        <w:tc>
          <w:tcPr>
            <w:tcW w:w="0" w:type="auto"/>
            <w:tcBorders>
              <w:top w:val="nil"/>
              <w:left w:val="single" w:sz="6" w:space="0" w:color="000000"/>
              <w:bottom w:val="single" w:sz="6" w:space="0" w:color="000000"/>
              <w:right w:val="nil"/>
            </w:tcBorders>
            <w:hideMark/>
          </w:tcPr>
          <w:p w14:paraId="61376567"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Step 6.</w:t>
            </w:r>
          </w:p>
        </w:tc>
        <w:tc>
          <w:tcPr>
            <w:tcW w:w="0" w:type="auto"/>
            <w:gridSpan w:val="3"/>
            <w:tcBorders>
              <w:top w:val="nil"/>
              <w:left w:val="nil"/>
              <w:bottom w:val="single" w:sz="6" w:space="0" w:color="000000"/>
              <w:right w:val="single" w:sz="6" w:space="0" w:color="000000"/>
            </w:tcBorders>
            <w:hideMark/>
          </w:tcPr>
          <w:p w14:paraId="253A154F"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 xml:space="preserve">Swirl the cup again. Take or give </w:t>
            </w:r>
            <w:proofErr w:type="gramStart"/>
            <w:r w:rsidRPr="00ED1831">
              <w:rPr>
                <w:rFonts w:ascii="Times New Roman" w:eastAsia="Times New Roman" w:hAnsi="Times New Roman" w:cs="Times New Roman"/>
              </w:rPr>
              <w:t>all of</w:t>
            </w:r>
            <w:proofErr w:type="gramEnd"/>
            <w:r w:rsidRPr="00ED1831">
              <w:rPr>
                <w:rFonts w:ascii="Times New Roman" w:eastAsia="Times New Roman" w:hAnsi="Times New Roman" w:cs="Times New Roman"/>
              </w:rPr>
              <w:t xml:space="preserve"> the prepared medicine right away.</w:t>
            </w:r>
          </w:p>
          <w:p w14:paraId="405038F6"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t>•</w:t>
            </w:r>
          </w:p>
          <w:p w14:paraId="60A61739"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If giving to a child, make sure that your child is upright when drinking the medicine mixture.</w:t>
            </w:r>
          </w:p>
        </w:tc>
        <w:bookmarkStart w:id="191" w:name="id2026"/>
        <w:bookmarkEnd w:id="191"/>
        <w:tc>
          <w:tcPr>
            <w:tcW w:w="0" w:type="auto"/>
            <w:gridSpan w:val="3"/>
            <w:tcBorders>
              <w:top w:val="nil"/>
              <w:left w:val="nil"/>
              <w:bottom w:val="single" w:sz="6" w:space="0" w:color="000000"/>
              <w:right w:val="single" w:sz="6" w:space="0" w:color="000000"/>
            </w:tcBorders>
            <w:hideMark/>
          </w:tcPr>
          <w:p w14:paraId="5ED5C816" w14:textId="35759439"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fldChar w:fldCharType="begin"/>
            </w:r>
            <w:r w:rsidRPr="00ED1831">
              <w:rPr>
                <w:rFonts w:ascii="Times New Roman" w:eastAsia="Times New Roman" w:hAnsi="Times New Roman" w:cs="Times New Roman"/>
              </w:rPr>
              <w:instrText xml:space="preserve"> INCLUDEPICTURE "https://labeling.pfizer.com/ImageHandler.ashx?id=18753" \* MERGEFORMATINET </w:instrText>
            </w:r>
            <w:r w:rsidRPr="00ED1831">
              <w:rPr>
                <w:rFonts w:ascii="Times New Roman" w:eastAsia="Times New Roman" w:hAnsi="Times New Roman" w:cs="Times New Roman"/>
              </w:rPr>
              <w:fldChar w:fldCharType="separate"/>
            </w:r>
            <w:r w:rsidRPr="00ED1831">
              <w:rPr>
                <w:rFonts w:ascii="Times New Roman" w:eastAsia="Times New Roman" w:hAnsi="Times New Roman" w:cs="Times New Roman"/>
                <w:noProof/>
              </w:rPr>
              <w:drawing>
                <wp:inline distT="0" distB="0" distL="0" distR="0" wp14:anchorId="580C9216" wp14:editId="2EEF82B1">
                  <wp:extent cx="2447925" cy="2562225"/>
                  <wp:effectExtent l="0" t="0" r="3175" b="3175"/>
                  <wp:docPr id="1582645482" name="Picture 3" descr="Step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tep 6"/>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447925" cy="2562225"/>
                          </a:xfrm>
                          <a:prstGeom prst="rect">
                            <a:avLst/>
                          </a:prstGeom>
                          <a:noFill/>
                          <a:ln>
                            <a:noFill/>
                          </a:ln>
                        </pic:spPr>
                      </pic:pic>
                    </a:graphicData>
                  </a:graphic>
                </wp:inline>
              </w:drawing>
            </w:r>
            <w:r w:rsidRPr="00ED1831">
              <w:rPr>
                <w:rFonts w:ascii="Times New Roman" w:eastAsia="Times New Roman" w:hAnsi="Times New Roman" w:cs="Times New Roman"/>
              </w:rPr>
              <w:fldChar w:fldCharType="end"/>
            </w:r>
          </w:p>
        </w:tc>
      </w:tr>
      <w:tr w:rsidR="00ED1831" w:rsidRPr="00ED1831" w14:paraId="6E1D0A3B" w14:textId="77777777" w:rsidTr="00ED1831">
        <w:tc>
          <w:tcPr>
            <w:tcW w:w="0" w:type="auto"/>
            <w:tcBorders>
              <w:top w:val="nil"/>
              <w:left w:val="single" w:sz="6" w:space="0" w:color="000000"/>
              <w:bottom w:val="single" w:sz="6" w:space="0" w:color="000000"/>
              <w:right w:val="nil"/>
            </w:tcBorders>
            <w:hideMark/>
          </w:tcPr>
          <w:p w14:paraId="5AE17554"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lastRenderedPageBreak/>
              <w:t>Step 7.</w:t>
            </w:r>
          </w:p>
        </w:tc>
        <w:tc>
          <w:tcPr>
            <w:tcW w:w="0" w:type="auto"/>
            <w:gridSpan w:val="3"/>
            <w:tcBorders>
              <w:top w:val="nil"/>
              <w:left w:val="nil"/>
              <w:bottom w:val="single" w:sz="6" w:space="0" w:color="000000"/>
              <w:right w:val="single" w:sz="6" w:space="0" w:color="000000"/>
            </w:tcBorders>
            <w:hideMark/>
          </w:tcPr>
          <w:p w14:paraId="165F1074"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Add 1 or 2 teaspoons of room temperature clear drink to the cup to make sure the full dose is taken. Swirl the cup until the remaining medicine is mixed and take or give it right away.</w:t>
            </w:r>
          </w:p>
          <w:p w14:paraId="5806EC0F"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t>•</w:t>
            </w:r>
          </w:p>
          <w:p w14:paraId="1C9AE4F3"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Repeat this step until no more medicine is left in the cup.</w:t>
            </w:r>
          </w:p>
          <w:p w14:paraId="7D4E0E86" w14:textId="77777777" w:rsidR="00ED1831" w:rsidRPr="00ED1831" w:rsidRDefault="00ED1831" w:rsidP="00ED1831">
            <w:pPr>
              <w:ind w:left="576"/>
              <w:rPr>
                <w:rFonts w:ascii="Times New Roman" w:eastAsia="Times New Roman" w:hAnsi="Times New Roman" w:cs="Times New Roman"/>
              </w:rPr>
            </w:pPr>
            <w:r w:rsidRPr="00ED1831">
              <w:rPr>
                <w:rFonts w:ascii="Times New Roman" w:eastAsia="Times New Roman" w:hAnsi="Times New Roman" w:cs="Times New Roman"/>
              </w:rPr>
              <w:t>•</w:t>
            </w:r>
          </w:p>
          <w:p w14:paraId="36901920"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After all the medicine is taken, you or your child may drink more water or any type of drink.</w:t>
            </w:r>
          </w:p>
        </w:tc>
        <w:bookmarkStart w:id="192" w:name="id2035"/>
        <w:bookmarkEnd w:id="192"/>
        <w:tc>
          <w:tcPr>
            <w:tcW w:w="0" w:type="auto"/>
            <w:gridSpan w:val="3"/>
            <w:tcBorders>
              <w:top w:val="nil"/>
              <w:left w:val="nil"/>
              <w:bottom w:val="single" w:sz="6" w:space="0" w:color="000000"/>
              <w:right w:val="single" w:sz="6" w:space="0" w:color="000000"/>
            </w:tcBorders>
            <w:hideMark/>
          </w:tcPr>
          <w:p w14:paraId="5120B06C" w14:textId="69C691EB"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fldChar w:fldCharType="begin"/>
            </w:r>
            <w:r w:rsidRPr="00ED1831">
              <w:rPr>
                <w:rFonts w:ascii="Times New Roman" w:eastAsia="Times New Roman" w:hAnsi="Times New Roman" w:cs="Times New Roman"/>
              </w:rPr>
              <w:instrText xml:space="preserve"> INCLUDEPICTURE "https://labeling.pfizer.com/ImageHandler.ashx?id=18754" \* MERGEFORMATINET </w:instrText>
            </w:r>
            <w:r w:rsidRPr="00ED1831">
              <w:rPr>
                <w:rFonts w:ascii="Times New Roman" w:eastAsia="Times New Roman" w:hAnsi="Times New Roman" w:cs="Times New Roman"/>
              </w:rPr>
              <w:fldChar w:fldCharType="separate"/>
            </w:r>
            <w:r w:rsidRPr="00ED1831">
              <w:rPr>
                <w:rFonts w:ascii="Times New Roman" w:eastAsia="Times New Roman" w:hAnsi="Times New Roman" w:cs="Times New Roman"/>
                <w:noProof/>
              </w:rPr>
              <w:drawing>
                <wp:inline distT="0" distB="0" distL="0" distR="0" wp14:anchorId="754D3C7E" wp14:editId="6DC99784">
                  <wp:extent cx="2352675" cy="2476500"/>
                  <wp:effectExtent l="0" t="0" r="0" b="0"/>
                  <wp:docPr id="411458454" name="Picture 2" descr="Ste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Step 7"/>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2352675" cy="2476500"/>
                          </a:xfrm>
                          <a:prstGeom prst="rect">
                            <a:avLst/>
                          </a:prstGeom>
                          <a:noFill/>
                          <a:ln>
                            <a:noFill/>
                          </a:ln>
                        </pic:spPr>
                      </pic:pic>
                    </a:graphicData>
                  </a:graphic>
                </wp:inline>
              </w:drawing>
            </w:r>
            <w:r w:rsidRPr="00ED1831">
              <w:rPr>
                <w:rFonts w:ascii="Times New Roman" w:eastAsia="Times New Roman" w:hAnsi="Times New Roman" w:cs="Times New Roman"/>
              </w:rPr>
              <w:fldChar w:fldCharType="end"/>
            </w:r>
          </w:p>
        </w:tc>
      </w:tr>
      <w:tr w:rsidR="00ED1831" w:rsidRPr="00ED1831" w14:paraId="41448F5A" w14:textId="77777777" w:rsidTr="00ED1831">
        <w:tc>
          <w:tcPr>
            <w:tcW w:w="0" w:type="auto"/>
            <w:tcBorders>
              <w:top w:val="nil"/>
              <w:left w:val="single" w:sz="6" w:space="0" w:color="000000"/>
              <w:bottom w:val="single" w:sz="6" w:space="0" w:color="000000"/>
              <w:right w:val="nil"/>
            </w:tcBorders>
            <w:hideMark/>
          </w:tcPr>
          <w:p w14:paraId="6B1E61F5"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Step 8.</w:t>
            </w:r>
          </w:p>
        </w:tc>
        <w:tc>
          <w:tcPr>
            <w:tcW w:w="0" w:type="auto"/>
            <w:gridSpan w:val="6"/>
            <w:tcBorders>
              <w:top w:val="nil"/>
              <w:left w:val="nil"/>
              <w:bottom w:val="single" w:sz="6" w:space="0" w:color="000000"/>
              <w:right w:val="single" w:sz="6" w:space="0" w:color="000000"/>
            </w:tcBorders>
            <w:hideMark/>
          </w:tcPr>
          <w:p w14:paraId="07A0DCD5"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Wash the teaspoon and cup with warm soap and water.</w:t>
            </w:r>
          </w:p>
        </w:tc>
      </w:tr>
      <w:tr w:rsidR="00ED1831" w:rsidRPr="00ED1831" w14:paraId="03BC4EAA" w14:textId="77777777" w:rsidTr="00ED1831">
        <w:tc>
          <w:tcPr>
            <w:tcW w:w="0" w:type="auto"/>
            <w:gridSpan w:val="7"/>
            <w:tcBorders>
              <w:top w:val="nil"/>
              <w:left w:val="single" w:sz="6" w:space="0" w:color="000000"/>
              <w:bottom w:val="single" w:sz="6" w:space="0" w:color="000000"/>
              <w:right w:val="single" w:sz="6" w:space="0" w:color="000000"/>
            </w:tcBorders>
            <w:hideMark/>
          </w:tcPr>
          <w:p w14:paraId="7E3C3D78"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Storing OXBRYTA</w:t>
            </w:r>
          </w:p>
          <w:p w14:paraId="680F1343" w14:textId="77777777" w:rsidR="00ED1831" w:rsidRPr="00ED1831" w:rsidRDefault="00ED1831" w:rsidP="00ED1831">
            <w:pPr>
              <w:ind w:left="216"/>
              <w:rPr>
                <w:rFonts w:ascii="Times New Roman" w:eastAsia="Times New Roman" w:hAnsi="Times New Roman" w:cs="Times New Roman"/>
              </w:rPr>
            </w:pPr>
            <w:r w:rsidRPr="00ED1831">
              <w:rPr>
                <w:rFonts w:ascii="Times New Roman" w:eastAsia="Times New Roman" w:hAnsi="Times New Roman" w:cs="Times New Roman"/>
              </w:rPr>
              <w:t>•</w:t>
            </w:r>
          </w:p>
          <w:p w14:paraId="2562D61F"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Store OXBRYTA between 68°F to 86°F (20°C to 30°C).</w:t>
            </w:r>
          </w:p>
          <w:p w14:paraId="5BBD2280" w14:textId="77777777" w:rsidR="00ED1831" w:rsidRPr="00ED1831" w:rsidRDefault="00ED1831" w:rsidP="00ED1831">
            <w:pPr>
              <w:ind w:left="576"/>
              <w:rPr>
                <w:rFonts w:ascii="Times New Roman" w:eastAsia="Times New Roman" w:hAnsi="Times New Roman" w:cs="Times New Roman"/>
              </w:rPr>
            </w:pPr>
            <w:r w:rsidRPr="00ED1831">
              <w:rPr>
                <w:rFonts w:ascii="Times New Roman" w:eastAsia="Times New Roman" w:hAnsi="Times New Roman" w:cs="Times New Roman"/>
              </w:rPr>
              <w:t>•</w:t>
            </w:r>
          </w:p>
          <w:p w14:paraId="01E16E08"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The OXBRYTA bottle comes with a child-resistant closure.</w:t>
            </w:r>
          </w:p>
          <w:p w14:paraId="4046E11A" w14:textId="77777777" w:rsidR="00ED1831" w:rsidRPr="00ED1831" w:rsidRDefault="00ED1831" w:rsidP="00ED1831">
            <w:pPr>
              <w:ind w:left="936"/>
              <w:rPr>
                <w:rFonts w:ascii="Times New Roman" w:eastAsia="Times New Roman" w:hAnsi="Times New Roman" w:cs="Times New Roman"/>
              </w:rPr>
            </w:pPr>
            <w:r w:rsidRPr="00ED1831">
              <w:rPr>
                <w:rFonts w:ascii="Times New Roman" w:eastAsia="Times New Roman" w:hAnsi="Times New Roman" w:cs="Times New Roman"/>
              </w:rPr>
              <w:t>•</w:t>
            </w:r>
          </w:p>
          <w:p w14:paraId="7A368520" w14:textId="77777777" w:rsidR="00ED1831" w:rsidRPr="00ED1831" w:rsidRDefault="00ED1831" w:rsidP="00ED1831">
            <w:pPr>
              <w:ind w:left="720"/>
              <w:rPr>
                <w:rFonts w:ascii="Times New Roman" w:eastAsia="Times New Roman" w:hAnsi="Times New Roman" w:cs="Times New Roman"/>
              </w:rPr>
            </w:pPr>
            <w:r w:rsidRPr="00ED1831">
              <w:rPr>
                <w:rFonts w:ascii="Times New Roman" w:eastAsia="Times New Roman" w:hAnsi="Times New Roman" w:cs="Times New Roman"/>
              </w:rPr>
              <w:t xml:space="preserve">The OXBRYTA tablets for oral suspension bottle </w:t>
            </w:r>
            <w:proofErr w:type="gramStart"/>
            <w:r w:rsidRPr="00ED1831">
              <w:rPr>
                <w:rFonts w:ascii="Times New Roman" w:eastAsia="Times New Roman" w:hAnsi="Times New Roman" w:cs="Times New Roman"/>
              </w:rPr>
              <w:t>contains</w:t>
            </w:r>
            <w:proofErr w:type="gramEnd"/>
            <w:r w:rsidRPr="00ED1831">
              <w:rPr>
                <w:rFonts w:ascii="Times New Roman" w:eastAsia="Times New Roman" w:hAnsi="Times New Roman" w:cs="Times New Roman"/>
              </w:rPr>
              <w:t xml:space="preserve"> a polyester coil. </w:t>
            </w:r>
            <w:r w:rsidRPr="00ED1831">
              <w:rPr>
                <w:rFonts w:ascii="Times New Roman" w:eastAsia="Times New Roman" w:hAnsi="Times New Roman" w:cs="Times New Roman"/>
                <w:b/>
                <w:bCs/>
              </w:rPr>
              <w:t>Do not</w:t>
            </w:r>
            <w:r w:rsidRPr="00ED1831">
              <w:rPr>
                <w:rFonts w:ascii="Times New Roman" w:eastAsia="Times New Roman" w:hAnsi="Times New Roman" w:cs="Times New Roman"/>
              </w:rPr>
              <w:t> eat the polyester coil.</w:t>
            </w:r>
          </w:p>
          <w:p w14:paraId="189E15F0"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Keep OXBRYTA and all medicines out of the reach of children.</w:t>
            </w:r>
          </w:p>
        </w:tc>
      </w:tr>
      <w:tr w:rsidR="00ED1831" w:rsidRPr="00ED1831" w14:paraId="59EBC93E" w14:textId="77777777" w:rsidTr="00ED1831">
        <w:tc>
          <w:tcPr>
            <w:tcW w:w="0" w:type="auto"/>
            <w:gridSpan w:val="7"/>
            <w:tcBorders>
              <w:top w:val="nil"/>
              <w:left w:val="single" w:sz="6" w:space="0" w:color="000000"/>
              <w:bottom w:val="single" w:sz="24" w:space="0" w:color="000000"/>
              <w:right w:val="single" w:sz="6" w:space="0" w:color="000000"/>
            </w:tcBorders>
            <w:hideMark/>
          </w:tcPr>
          <w:p w14:paraId="6A228541"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Disposing of OXBRYTA</w:t>
            </w:r>
            <w:r w:rsidRPr="00ED1831">
              <w:rPr>
                <w:rFonts w:ascii="Times New Roman" w:eastAsia="Times New Roman" w:hAnsi="Times New Roman" w:cs="Times New Roman"/>
              </w:rPr>
              <w:br/>
              <w:t>When all the tablets in the bottle have been taken, throw away the bottle. Safely dispose of (throw away) OXBRYTA that is out of date or no longer needed using your local household waste guidelines.</w:t>
            </w:r>
          </w:p>
          <w:bookmarkStart w:id="193" w:name="id-641652667"/>
          <w:bookmarkEnd w:id="193"/>
          <w:p w14:paraId="495F02FA" w14:textId="184AA666"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fldChar w:fldCharType="begin"/>
            </w:r>
            <w:r w:rsidRPr="00ED1831">
              <w:rPr>
                <w:rFonts w:ascii="Times New Roman" w:eastAsia="Times New Roman" w:hAnsi="Times New Roman" w:cs="Times New Roman"/>
              </w:rPr>
              <w:instrText xml:space="preserve"> INCLUDEPICTURE "https://labeling.pfizer.com/ImageHandler.ashx?id=18755" \* MERGEFORMATINET </w:instrText>
            </w:r>
            <w:r w:rsidRPr="00ED1831">
              <w:rPr>
                <w:rFonts w:ascii="Times New Roman" w:eastAsia="Times New Roman" w:hAnsi="Times New Roman" w:cs="Times New Roman"/>
              </w:rPr>
              <w:fldChar w:fldCharType="separate"/>
            </w:r>
            <w:r w:rsidRPr="00ED1831">
              <w:rPr>
                <w:rFonts w:ascii="Times New Roman" w:eastAsia="Times New Roman" w:hAnsi="Times New Roman" w:cs="Times New Roman"/>
                <w:noProof/>
              </w:rPr>
              <w:drawing>
                <wp:inline distT="0" distB="0" distL="0" distR="0" wp14:anchorId="2F169A32" wp14:editId="3262EDD4">
                  <wp:extent cx="1905000" cy="847725"/>
                  <wp:effectExtent l="0" t="0" r="0" b="3175"/>
                  <wp:docPr id="1040263316"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905000" cy="847725"/>
                          </a:xfrm>
                          <a:prstGeom prst="rect">
                            <a:avLst/>
                          </a:prstGeom>
                          <a:noFill/>
                          <a:ln>
                            <a:noFill/>
                          </a:ln>
                        </pic:spPr>
                      </pic:pic>
                    </a:graphicData>
                  </a:graphic>
                </wp:inline>
              </w:drawing>
            </w:r>
            <w:r w:rsidRPr="00ED1831">
              <w:rPr>
                <w:rFonts w:ascii="Times New Roman" w:eastAsia="Times New Roman" w:hAnsi="Times New Roman" w:cs="Times New Roman"/>
              </w:rPr>
              <w:fldChar w:fldCharType="end"/>
            </w:r>
          </w:p>
          <w:p w14:paraId="5D020E08"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Distributed by</w:t>
            </w:r>
          </w:p>
          <w:p w14:paraId="32E1213F"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b/>
                <w:bCs/>
              </w:rPr>
              <w:t>Global Blood Therapeutics, Inc</w:t>
            </w:r>
          </w:p>
          <w:p w14:paraId="01C54DA6"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A subsidiary of Pfizer Inc.</w:t>
            </w:r>
          </w:p>
          <w:p w14:paraId="09409207"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South San Francisco, CA 94080</w:t>
            </w:r>
            <w:r w:rsidRPr="00ED1831">
              <w:rPr>
                <w:rFonts w:ascii="Times New Roman" w:eastAsia="Times New Roman" w:hAnsi="Times New Roman" w:cs="Times New Roman"/>
              </w:rPr>
              <w:br/>
            </w:r>
            <w:r w:rsidRPr="00ED1831">
              <w:rPr>
                <w:rFonts w:ascii="Times New Roman" w:eastAsia="Times New Roman" w:hAnsi="Times New Roman" w:cs="Times New Roman"/>
              </w:rPr>
              <w:br/>
              <w:t>LAB-1568-1.0</w:t>
            </w:r>
          </w:p>
          <w:p w14:paraId="0D2EDD48"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rPr>
              <w:t>For more information, go to </w:t>
            </w:r>
            <w:hyperlink r:id="rId127" w:history="1">
              <w:r w:rsidRPr="00ED1831">
                <w:rPr>
                  <w:rFonts w:ascii="Times New Roman" w:eastAsia="Times New Roman" w:hAnsi="Times New Roman" w:cs="Times New Roman"/>
                  <w:color w:val="0000FF"/>
                  <w:u w:val="single"/>
                </w:rPr>
                <w:t>www.pfizer.com</w:t>
              </w:r>
            </w:hyperlink>
            <w:r w:rsidRPr="00ED1831">
              <w:rPr>
                <w:rFonts w:ascii="Times New Roman" w:eastAsia="Times New Roman" w:hAnsi="Times New Roman" w:cs="Times New Roman"/>
              </w:rPr>
              <w:t> or call 1-800-438-1985.</w:t>
            </w:r>
          </w:p>
        </w:tc>
      </w:tr>
    </w:tbl>
    <w:p w14:paraId="45944603" w14:textId="77777777" w:rsidR="00ED1831" w:rsidRPr="00ED1831" w:rsidRDefault="00ED1831" w:rsidP="00ED1831">
      <w:pPr>
        <w:rPr>
          <w:rFonts w:ascii="Times New Roman" w:eastAsia="Times New Roman" w:hAnsi="Times New Roman" w:cs="Times New Roman"/>
          <w:color w:val="000000"/>
          <w:sz w:val="19"/>
          <w:szCs w:val="19"/>
        </w:rPr>
      </w:pPr>
      <w:r w:rsidRPr="00ED1831">
        <w:rPr>
          <w:rFonts w:ascii="Times New Roman" w:eastAsia="Times New Roman" w:hAnsi="Times New Roman" w:cs="Times New Roman"/>
          <w:color w:val="000000"/>
          <w:sz w:val="19"/>
          <w:szCs w:val="19"/>
        </w:rPr>
        <w:t>Revised: 8/2023</w:t>
      </w:r>
    </w:p>
    <w:p w14:paraId="644EC903" w14:textId="77777777" w:rsidR="00ED1831" w:rsidRPr="00ED1831" w:rsidRDefault="00ED1831" w:rsidP="00ED1831">
      <w:pPr>
        <w:rPr>
          <w:rFonts w:ascii="Times New Roman" w:eastAsia="Times New Roman" w:hAnsi="Times New Roman" w:cs="Times New Roman"/>
        </w:rPr>
      </w:pPr>
      <w:r w:rsidRPr="00ED1831">
        <w:rPr>
          <w:rFonts w:ascii="Times New Roman" w:eastAsia="Times New Roman" w:hAnsi="Times New Roman" w:cs="Times New Roman"/>
          <w:color w:val="000000"/>
        </w:rPr>
        <w:t> </w:t>
      </w:r>
    </w:p>
    <w:p w14:paraId="3D8275D2" w14:textId="77777777" w:rsidR="00ED1831" w:rsidRPr="00ED1831" w:rsidRDefault="00ED1831" w:rsidP="00ED1831">
      <w:pPr>
        <w:rPr>
          <w:rFonts w:ascii="Times New Roman" w:eastAsia="Times New Roman" w:hAnsi="Times New Roman" w:cs="Times New Roman"/>
          <w:color w:val="000000"/>
          <w:sz w:val="19"/>
          <w:szCs w:val="19"/>
        </w:rPr>
      </w:pPr>
      <w:r w:rsidRPr="00ED1831">
        <w:rPr>
          <w:rFonts w:ascii="Times New Roman" w:eastAsia="Times New Roman" w:hAnsi="Times New Roman" w:cs="Times New Roman"/>
          <w:color w:val="000000"/>
          <w:sz w:val="19"/>
          <w:szCs w:val="19"/>
        </w:rPr>
        <w:t>Global Blood Therapeutics, Inc, A subsidiary of Pfizer Inc</w:t>
      </w:r>
    </w:p>
    <w:p w14:paraId="44B99BF0" w14:textId="77777777" w:rsidR="00ED1831" w:rsidRDefault="00ED1831"/>
    <w:sectPr w:rsidR="00ED18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831"/>
    <w:rsid w:val="007A6970"/>
    <w:rsid w:val="008846BB"/>
    <w:rsid w:val="008D4A8B"/>
    <w:rsid w:val="00ED18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FA472A"/>
  <w15:chartTrackingRefBased/>
  <w15:docId w15:val="{9395C2BB-783A-B24C-9851-0B9C2E0C5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ED1831"/>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ED1831"/>
    <w:pPr>
      <w:spacing w:before="100" w:beforeAutospacing="1" w:after="100" w:afterAutospacing="1"/>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D1831"/>
    <w:rPr>
      <w:b/>
      <w:bCs/>
    </w:rPr>
  </w:style>
  <w:style w:type="character" w:customStyle="1" w:styleId="Heading1Char">
    <w:name w:val="Heading 1 Char"/>
    <w:basedOn w:val="DefaultParagraphFont"/>
    <w:link w:val="Heading1"/>
    <w:uiPriority w:val="9"/>
    <w:rsid w:val="00ED1831"/>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ED1831"/>
    <w:rPr>
      <w:rFonts w:ascii="Times New Roman" w:eastAsia="Times New Roman" w:hAnsi="Times New Roman" w:cs="Times New Roman"/>
      <w:b/>
      <w:bCs/>
      <w:sz w:val="36"/>
      <w:szCs w:val="36"/>
    </w:rPr>
  </w:style>
  <w:style w:type="paragraph" w:customStyle="1" w:styleId="msonormal0">
    <w:name w:val="msonormal"/>
    <w:basedOn w:val="Normal"/>
    <w:rsid w:val="00ED1831"/>
    <w:pPr>
      <w:spacing w:before="100" w:beforeAutospacing="1" w:after="100" w:afterAutospacing="1"/>
    </w:pPr>
    <w:rPr>
      <w:rFonts w:ascii="Times New Roman" w:eastAsia="Times New Roman" w:hAnsi="Times New Roman" w:cs="Times New Roman"/>
    </w:rPr>
  </w:style>
  <w:style w:type="character" w:customStyle="1" w:styleId="sup">
    <w:name w:val="sup"/>
    <w:basedOn w:val="DefaultParagraphFont"/>
    <w:rsid w:val="00ED1831"/>
  </w:style>
  <w:style w:type="paragraph" w:customStyle="1" w:styleId="highlighta">
    <w:name w:val="highlighta"/>
    <w:basedOn w:val="Normal"/>
    <w:rsid w:val="00ED1831"/>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semiHidden/>
    <w:unhideWhenUsed/>
    <w:rsid w:val="00ED1831"/>
    <w:rPr>
      <w:color w:val="0000FF"/>
      <w:u w:val="single"/>
    </w:rPr>
  </w:style>
  <w:style w:type="character" w:styleId="FollowedHyperlink">
    <w:name w:val="FollowedHyperlink"/>
    <w:basedOn w:val="DefaultParagraphFont"/>
    <w:uiPriority w:val="99"/>
    <w:semiHidden/>
    <w:unhideWhenUsed/>
    <w:rsid w:val="00ED1831"/>
    <w:rPr>
      <w:color w:val="800080"/>
      <w:u w:val="single"/>
    </w:rPr>
  </w:style>
  <w:style w:type="character" w:customStyle="1" w:styleId="underline">
    <w:name w:val="underline"/>
    <w:basedOn w:val="DefaultParagraphFont"/>
    <w:rsid w:val="00ED1831"/>
  </w:style>
  <w:style w:type="character" w:customStyle="1" w:styleId="bold">
    <w:name w:val="bold"/>
    <w:basedOn w:val="DefaultParagraphFont"/>
    <w:rsid w:val="00ED1831"/>
  </w:style>
  <w:style w:type="paragraph" w:customStyle="1" w:styleId="highlightsseereference">
    <w:name w:val="highlightsseereference"/>
    <w:basedOn w:val="Normal"/>
    <w:rsid w:val="00ED1831"/>
    <w:pPr>
      <w:spacing w:before="100" w:beforeAutospacing="1" w:after="100" w:afterAutospacing="1"/>
    </w:pPr>
    <w:rPr>
      <w:rFonts w:ascii="Times New Roman" w:eastAsia="Times New Roman" w:hAnsi="Times New Roman" w:cs="Times New Roman"/>
    </w:rPr>
  </w:style>
  <w:style w:type="paragraph" w:customStyle="1" w:styleId="highlightsrevision">
    <w:name w:val="highlightsrevision"/>
    <w:basedOn w:val="Normal"/>
    <w:rsid w:val="00ED1831"/>
    <w:pPr>
      <w:spacing w:before="100" w:beforeAutospacing="1" w:after="100" w:afterAutospacing="1"/>
    </w:pPr>
    <w:rPr>
      <w:rFonts w:ascii="Times New Roman" w:eastAsia="Times New Roman" w:hAnsi="Times New Roman" w:cs="Times New Roman"/>
    </w:rPr>
  </w:style>
  <w:style w:type="paragraph" w:styleId="NormalWeb">
    <w:name w:val="Normal (Web)"/>
    <w:basedOn w:val="Normal"/>
    <w:uiPriority w:val="99"/>
    <w:semiHidden/>
    <w:unhideWhenUsed/>
    <w:rsid w:val="00ED1831"/>
    <w:pPr>
      <w:spacing w:before="100" w:beforeAutospacing="1" w:after="100" w:afterAutospacing="1"/>
    </w:pPr>
    <w:rPr>
      <w:rFonts w:ascii="Times New Roman" w:eastAsia="Times New Roman" w:hAnsi="Times New Roman" w:cs="Times New Roman"/>
    </w:rPr>
  </w:style>
  <w:style w:type="paragraph" w:customStyle="1" w:styleId="first">
    <w:name w:val="first"/>
    <w:basedOn w:val="Normal"/>
    <w:rsid w:val="00ED1831"/>
    <w:pPr>
      <w:spacing w:before="100" w:beforeAutospacing="1" w:after="100" w:afterAutospacing="1"/>
    </w:pPr>
    <w:rPr>
      <w:rFonts w:ascii="Times New Roman" w:eastAsia="Times New Roman" w:hAnsi="Times New Roman" w:cs="Times New Roman"/>
    </w:rPr>
  </w:style>
  <w:style w:type="character" w:customStyle="1" w:styleId="italics">
    <w:name w:val="italics"/>
    <w:basedOn w:val="DefaultParagraphFont"/>
    <w:rsid w:val="00ED1831"/>
  </w:style>
  <w:style w:type="character" w:customStyle="1" w:styleId="xmchange">
    <w:name w:val="xmchange"/>
    <w:basedOn w:val="DefaultParagraphFont"/>
    <w:rsid w:val="00ED1831"/>
  </w:style>
  <w:style w:type="character" w:customStyle="1" w:styleId="sub">
    <w:name w:val="sub"/>
    <w:basedOn w:val="DefaultParagraphFont"/>
    <w:rsid w:val="00ED18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425432">
      <w:bodyDiv w:val="1"/>
      <w:marLeft w:val="0"/>
      <w:marRight w:val="0"/>
      <w:marTop w:val="0"/>
      <w:marBottom w:val="0"/>
      <w:divBdr>
        <w:top w:val="none" w:sz="0" w:space="0" w:color="auto"/>
        <w:left w:val="none" w:sz="0" w:space="0" w:color="auto"/>
        <w:bottom w:val="none" w:sz="0" w:space="0" w:color="auto"/>
        <w:right w:val="none" w:sz="0" w:space="0" w:color="auto"/>
      </w:divBdr>
      <w:divsChild>
        <w:div w:id="1796211442">
          <w:marLeft w:val="0"/>
          <w:marRight w:val="0"/>
          <w:marTop w:val="0"/>
          <w:marBottom w:val="0"/>
          <w:divBdr>
            <w:top w:val="none" w:sz="0" w:space="0" w:color="auto"/>
            <w:left w:val="none" w:sz="0" w:space="0" w:color="auto"/>
            <w:bottom w:val="none" w:sz="0" w:space="0" w:color="auto"/>
            <w:right w:val="none" w:sz="0" w:space="0" w:color="auto"/>
          </w:divBdr>
          <w:divsChild>
            <w:div w:id="3097563">
              <w:marLeft w:val="0"/>
              <w:marRight w:val="0"/>
              <w:marTop w:val="0"/>
              <w:marBottom w:val="0"/>
              <w:divBdr>
                <w:top w:val="none" w:sz="0" w:space="0" w:color="auto"/>
                <w:left w:val="none" w:sz="0" w:space="0" w:color="auto"/>
                <w:bottom w:val="none" w:sz="0" w:space="0" w:color="auto"/>
                <w:right w:val="none" w:sz="0" w:space="0" w:color="auto"/>
              </w:divBdr>
              <w:divsChild>
                <w:div w:id="1196771984">
                  <w:marLeft w:val="0"/>
                  <w:marRight w:val="0"/>
                  <w:marTop w:val="0"/>
                  <w:marBottom w:val="0"/>
                  <w:divBdr>
                    <w:top w:val="none" w:sz="0" w:space="0" w:color="auto"/>
                    <w:left w:val="none" w:sz="0" w:space="0" w:color="auto"/>
                    <w:bottom w:val="none" w:sz="0" w:space="0" w:color="auto"/>
                    <w:right w:val="none" w:sz="0" w:space="0" w:color="auto"/>
                  </w:divBdr>
                </w:div>
                <w:div w:id="170532394">
                  <w:marLeft w:val="0"/>
                  <w:marRight w:val="0"/>
                  <w:marTop w:val="216"/>
                  <w:marBottom w:val="0"/>
                  <w:divBdr>
                    <w:top w:val="dashed" w:sz="6" w:space="0" w:color="auto"/>
                    <w:left w:val="none" w:sz="0" w:space="0" w:color="auto"/>
                    <w:bottom w:val="none" w:sz="0" w:space="0" w:color="auto"/>
                    <w:right w:val="none" w:sz="0" w:space="0" w:color="auto"/>
                  </w:divBdr>
                  <w:divsChild>
                    <w:div w:id="1232693155">
                      <w:marLeft w:val="0"/>
                      <w:marRight w:val="0"/>
                      <w:marTop w:val="0"/>
                      <w:marBottom w:val="0"/>
                      <w:divBdr>
                        <w:top w:val="none" w:sz="0" w:space="0" w:color="auto"/>
                        <w:left w:val="none" w:sz="0" w:space="0" w:color="auto"/>
                        <w:bottom w:val="none" w:sz="0" w:space="0" w:color="auto"/>
                        <w:right w:val="none" w:sz="0" w:space="0" w:color="auto"/>
                      </w:divBdr>
                    </w:div>
                  </w:divsChild>
                </w:div>
                <w:div w:id="569927873">
                  <w:marLeft w:val="0"/>
                  <w:marRight w:val="0"/>
                  <w:marTop w:val="216"/>
                  <w:marBottom w:val="0"/>
                  <w:divBdr>
                    <w:top w:val="dashed" w:sz="6" w:space="0" w:color="auto"/>
                    <w:left w:val="none" w:sz="0" w:space="0" w:color="auto"/>
                    <w:bottom w:val="none" w:sz="0" w:space="0" w:color="auto"/>
                    <w:right w:val="none" w:sz="0" w:space="0" w:color="auto"/>
                  </w:divBdr>
                  <w:divsChild>
                    <w:div w:id="1260944850">
                      <w:marLeft w:val="0"/>
                      <w:marRight w:val="0"/>
                      <w:marTop w:val="0"/>
                      <w:marBottom w:val="0"/>
                      <w:divBdr>
                        <w:top w:val="none" w:sz="0" w:space="0" w:color="auto"/>
                        <w:left w:val="none" w:sz="0" w:space="0" w:color="auto"/>
                        <w:bottom w:val="none" w:sz="0" w:space="0" w:color="auto"/>
                        <w:right w:val="none" w:sz="0" w:space="0" w:color="auto"/>
                      </w:divBdr>
                    </w:div>
                  </w:divsChild>
                </w:div>
                <w:div w:id="154154370">
                  <w:marLeft w:val="0"/>
                  <w:marRight w:val="0"/>
                  <w:marTop w:val="216"/>
                  <w:marBottom w:val="0"/>
                  <w:divBdr>
                    <w:top w:val="dashed" w:sz="6" w:space="0" w:color="auto"/>
                    <w:left w:val="none" w:sz="0" w:space="0" w:color="auto"/>
                    <w:bottom w:val="none" w:sz="0" w:space="0" w:color="auto"/>
                    <w:right w:val="none" w:sz="0" w:space="0" w:color="auto"/>
                  </w:divBdr>
                  <w:divsChild>
                    <w:div w:id="1320377564">
                      <w:marLeft w:val="0"/>
                      <w:marRight w:val="0"/>
                      <w:marTop w:val="0"/>
                      <w:marBottom w:val="0"/>
                      <w:divBdr>
                        <w:top w:val="none" w:sz="0" w:space="0" w:color="auto"/>
                        <w:left w:val="none" w:sz="0" w:space="0" w:color="auto"/>
                        <w:bottom w:val="none" w:sz="0" w:space="0" w:color="auto"/>
                        <w:right w:val="none" w:sz="0" w:space="0" w:color="auto"/>
                      </w:divBdr>
                    </w:div>
                  </w:divsChild>
                </w:div>
                <w:div w:id="1744597724">
                  <w:marLeft w:val="0"/>
                  <w:marRight w:val="0"/>
                  <w:marTop w:val="216"/>
                  <w:marBottom w:val="0"/>
                  <w:divBdr>
                    <w:top w:val="dashed" w:sz="6" w:space="0" w:color="auto"/>
                    <w:left w:val="none" w:sz="0" w:space="0" w:color="auto"/>
                    <w:bottom w:val="none" w:sz="0" w:space="0" w:color="auto"/>
                    <w:right w:val="none" w:sz="0" w:space="0" w:color="auto"/>
                  </w:divBdr>
                  <w:divsChild>
                    <w:div w:id="1232274775">
                      <w:marLeft w:val="0"/>
                      <w:marRight w:val="0"/>
                      <w:marTop w:val="0"/>
                      <w:marBottom w:val="0"/>
                      <w:divBdr>
                        <w:top w:val="none" w:sz="0" w:space="0" w:color="auto"/>
                        <w:left w:val="none" w:sz="0" w:space="0" w:color="auto"/>
                        <w:bottom w:val="none" w:sz="0" w:space="0" w:color="auto"/>
                        <w:right w:val="none" w:sz="0" w:space="0" w:color="auto"/>
                      </w:divBdr>
                    </w:div>
                  </w:divsChild>
                </w:div>
                <w:div w:id="1165318187">
                  <w:marLeft w:val="0"/>
                  <w:marRight w:val="0"/>
                  <w:marTop w:val="216"/>
                  <w:marBottom w:val="0"/>
                  <w:divBdr>
                    <w:top w:val="dashed" w:sz="6" w:space="0" w:color="auto"/>
                    <w:left w:val="none" w:sz="0" w:space="0" w:color="auto"/>
                    <w:bottom w:val="none" w:sz="0" w:space="0" w:color="auto"/>
                    <w:right w:val="none" w:sz="0" w:space="0" w:color="auto"/>
                  </w:divBdr>
                  <w:divsChild>
                    <w:div w:id="184104338">
                      <w:marLeft w:val="0"/>
                      <w:marRight w:val="0"/>
                      <w:marTop w:val="0"/>
                      <w:marBottom w:val="0"/>
                      <w:divBdr>
                        <w:top w:val="none" w:sz="0" w:space="0" w:color="auto"/>
                        <w:left w:val="none" w:sz="0" w:space="0" w:color="auto"/>
                        <w:bottom w:val="none" w:sz="0" w:space="0" w:color="auto"/>
                        <w:right w:val="none" w:sz="0" w:space="0" w:color="auto"/>
                      </w:divBdr>
                    </w:div>
                  </w:divsChild>
                </w:div>
                <w:div w:id="1519584433">
                  <w:marLeft w:val="0"/>
                  <w:marRight w:val="0"/>
                  <w:marTop w:val="216"/>
                  <w:marBottom w:val="0"/>
                  <w:divBdr>
                    <w:top w:val="dashed" w:sz="6" w:space="0" w:color="auto"/>
                    <w:left w:val="none" w:sz="0" w:space="0" w:color="auto"/>
                    <w:bottom w:val="none" w:sz="0" w:space="0" w:color="auto"/>
                    <w:right w:val="none" w:sz="0" w:space="0" w:color="auto"/>
                  </w:divBdr>
                  <w:divsChild>
                    <w:div w:id="112871945">
                      <w:marLeft w:val="0"/>
                      <w:marRight w:val="0"/>
                      <w:marTop w:val="0"/>
                      <w:marBottom w:val="0"/>
                      <w:divBdr>
                        <w:top w:val="none" w:sz="0" w:space="0" w:color="auto"/>
                        <w:left w:val="none" w:sz="0" w:space="0" w:color="auto"/>
                        <w:bottom w:val="none" w:sz="0" w:space="0" w:color="auto"/>
                        <w:right w:val="none" w:sz="0" w:space="0" w:color="auto"/>
                      </w:divBdr>
                    </w:div>
                  </w:divsChild>
                </w:div>
                <w:div w:id="368923076">
                  <w:marLeft w:val="0"/>
                  <w:marRight w:val="0"/>
                  <w:marTop w:val="216"/>
                  <w:marBottom w:val="0"/>
                  <w:divBdr>
                    <w:top w:val="dashed" w:sz="6" w:space="0" w:color="auto"/>
                    <w:left w:val="none" w:sz="0" w:space="0" w:color="auto"/>
                    <w:bottom w:val="none" w:sz="0" w:space="0" w:color="auto"/>
                    <w:right w:val="none" w:sz="0" w:space="0" w:color="auto"/>
                  </w:divBdr>
                  <w:divsChild>
                    <w:div w:id="9845548">
                      <w:marLeft w:val="0"/>
                      <w:marRight w:val="0"/>
                      <w:marTop w:val="0"/>
                      <w:marBottom w:val="0"/>
                      <w:divBdr>
                        <w:top w:val="none" w:sz="0" w:space="0" w:color="auto"/>
                        <w:left w:val="none" w:sz="0" w:space="0" w:color="auto"/>
                        <w:bottom w:val="none" w:sz="0" w:space="0" w:color="auto"/>
                        <w:right w:val="none" w:sz="0" w:space="0" w:color="auto"/>
                      </w:divBdr>
                    </w:div>
                  </w:divsChild>
                </w:div>
                <w:div w:id="1900749571">
                  <w:marLeft w:val="0"/>
                  <w:marRight w:val="0"/>
                  <w:marTop w:val="216"/>
                  <w:marBottom w:val="0"/>
                  <w:divBdr>
                    <w:top w:val="dashed" w:sz="6" w:space="0" w:color="auto"/>
                    <w:left w:val="none" w:sz="0" w:space="0" w:color="auto"/>
                    <w:bottom w:val="none" w:sz="0" w:space="0" w:color="auto"/>
                    <w:right w:val="none" w:sz="0" w:space="0" w:color="auto"/>
                  </w:divBdr>
                  <w:divsChild>
                    <w:div w:id="1591616647">
                      <w:marLeft w:val="0"/>
                      <w:marRight w:val="0"/>
                      <w:marTop w:val="0"/>
                      <w:marBottom w:val="0"/>
                      <w:divBdr>
                        <w:top w:val="none" w:sz="0" w:space="0" w:color="auto"/>
                        <w:left w:val="none" w:sz="0" w:space="0" w:color="auto"/>
                        <w:bottom w:val="none" w:sz="0" w:space="0" w:color="auto"/>
                        <w:right w:val="none" w:sz="0" w:space="0" w:color="auto"/>
                      </w:divBdr>
                    </w:div>
                  </w:divsChild>
                </w:div>
                <w:div w:id="528878342">
                  <w:marLeft w:val="0"/>
                  <w:marRight w:val="0"/>
                  <w:marTop w:val="216"/>
                  <w:marBottom w:val="0"/>
                  <w:divBdr>
                    <w:top w:val="dashed" w:sz="6" w:space="0" w:color="auto"/>
                    <w:left w:val="none" w:sz="0" w:space="0" w:color="auto"/>
                    <w:bottom w:val="none" w:sz="0" w:space="0" w:color="auto"/>
                    <w:right w:val="none" w:sz="0" w:space="0" w:color="auto"/>
                  </w:divBdr>
                  <w:divsChild>
                    <w:div w:id="1048601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58503">
          <w:marLeft w:val="0"/>
          <w:marRight w:val="0"/>
          <w:marTop w:val="0"/>
          <w:marBottom w:val="0"/>
          <w:divBdr>
            <w:top w:val="none" w:sz="0" w:space="0" w:color="auto"/>
            <w:left w:val="none" w:sz="0" w:space="0" w:color="auto"/>
            <w:bottom w:val="none" w:sz="0" w:space="0" w:color="auto"/>
            <w:right w:val="none" w:sz="0" w:space="0" w:color="auto"/>
          </w:divBdr>
        </w:div>
        <w:div w:id="1376419341">
          <w:marLeft w:val="0"/>
          <w:marRight w:val="0"/>
          <w:marTop w:val="0"/>
          <w:marBottom w:val="0"/>
          <w:divBdr>
            <w:top w:val="none" w:sz="0" w:space="0" w:color="auto"/>
            <w:left w:val="none" w:sz="0" w:space="0" w:color="auto"/>
            <w:bottom w:val="none" w:sz="0" w:space="0" w:color="auto"/>
            <w:right w:val="none" w:sz="0" w:space="0" w:color="auto"/>
          </w:divBdr>
          <w:divsChild>
            <w:div w:id="2080787508">
              <w:marLeft w:val="0"/>
              <w:marRight w:val="0"/>
              <w:marTop w:val="0"/>
              <w:marBottom w:val="0"/>
              <w:divBdr>
                <w:top w:val="none" w:sz="0" w:space="0" w:color="auto"/>
                <w:left w:val="none" w:sz="0" w:space="0" w:color="auto"/>
                <w:bottom w:val="none" w:sz="0" w:space="0" w:color="auto"/>
                <w:right w:val="none" w:sz="0" w:space="0" w:color="auto"/>
              </w:divBdr>
            </w:div>
            <w:div w:id="98915527">
              <w:marLeft w:val="0"/>
              <w:marRight w:val="0"/>
              <w:marTop w:val="0"/>
              <w:marBottom w:val="0"/>
              <w:divBdr>
                <w:top w:val="none" w:sz="0" w:space="0" w:color="auto"/>
                <w:left w:val="none" w:sz="0" w:space="0" w:color="auto"/>
                <w:bottom w:val="none" w:sz="0" w:space="0" w:color="auto"/>
                <w:right w:val="none" w:sz="0" w:space="0" w:color="auto"/>
              </w:divBdr>
              <w:divsChild>
                <w:div w:id="2099281175">
                  <w:marLeft w:val="0"/>
                  <w:marRight w:val="0"/>
                  <w:marTop w:val="0"/>
                  <w:marBottom w:val="0"/>
                  <w:divBdr>
                    <w:top w:val="none" w:sz="0" w:space="0" w:color="auto"/>
                    <w:left w:val="none" w:sz="0" w:space="0" w:color="auto"/>
                    <w:bottom w:val="none" w:sz="0" w:space="0" w:color="auto"/>
                    <w:right w:val="none" w:sz="0" w:space="0" w:color="auto"/>
                  </w:divBdr>
                </w:div>
                <w:div w:id="1213805826">
                  <w:marLeft w:val="0"/>
                  <w:marRight w:val="0"/>
                  <w:marTop w:val="0"/>
                  <w:marBottom w:val="0"/>
                  <w:divBdr>
                    <w:top w:val="none" w:sz="0" w:space="0" w:color="auto"/>
                    <w:left w:val="none" w:sz="0" w:space="0" w:color="auto"/>
                    <w:bottom w:val="none" w:sz="0" w:space="0" w:color="auto"/>
                    <w:right w:val="none" w:sz="0" w:space="0" w:color="auto"/>
                  </w:divBdr>
                </w:div>
                <w:div w:id="873998991">
                  <w:marLeft w:val="0"/>
                  <w:marRight w:val="0"/>
                  <w:marTop w:val="0"/>
                  <w:marBottom w:val="0"/>
                  <w:divBdr>
                    <w:top w:val="none" w:sz="0" w:space="0" w:color="auto"/>
                    <w:left w:val="none" w:sz="0" w:space="0" w:color="auto"/>
                    <w:bottom w:val="none" w:sz="0" w:space="0" w:color="auto"/>
                    <w:right w:val="none" w:sz="0" w:space="0" w:color="auto"/>
                  </w:divBdr>
                </w:div>
                <w:div w:id="884832441">
                  <w:marLeft w:val="0"/>
                  <w:marRight w:val="0"/>
                  <w:marTop w:val="0"/>
                  <w:marBottom w:val="0"/>
                  <w:divBdr>
                    <w:top w:val="none" w:sz="0" w:space="0" w:color="auto"/>
                    <w:left w:val="none" w:sz="0" w:space="0" w:color="auto"/>
                    <w:bottom w:val="none" w:sz="0" w:space="0" w:color="auto"/>
                    <w:right w:val="none" w:sz="0" w:space="0" w:color="auto"/>
                  </w:divBdr>
                </w:div>
                <w:div w:id="647636527">
                  <w:marLeft w:val="0"/>
                  <w:marRight w:val="0"/>
                  <w:marTop w:val="0"/>
                  <w:marBottom w:val="0"/>
                  <w:divBdr>
                    <w:top w:val="none" w:sz="0" w:space="0" w:color="auto"/>
                    <w:left w:val="none" w:sz="0" w:space="0" w:color="auto"/>
                    <w:bottom w:val="none" w:sz="0" w:space="0" w:color="auto"/>
                    <w:right w:val="none" w:sz="0" w:space="0" w:color="auto"/>
                  </w:divBdr>
                  <w:divsChild>
                    <w:div w:id="2141848460">
                      <w:marLeft w:val="0"/>
                      <w:marRight w:val="0"/>
                      <w:marTop w:val="0"/>
                      <w:marBottom w:val="0"/>
                      <w:divBdr>
                        <w:top w:val="none" w:sz="0" w:space="0" w:color="auto"/>
                        <w:left w:val="none" w:sz="0" w:space="0" w:color="auto"/>
                        <w:bottom w:val="none" w:sz="0" w:space="0" w:color="auto"/>
                        <w:right w:val="none" w:sz="0" w:space="0" w:color="auto"/>
                      </w:divBdr>
                    </w:div>
                  </w:divsChild>
                </w:div>
                <w:div w:id="273682018">
                  <w:marLeft w:val="0"/>
                  <w:marRight w:val="0"/>
                  <w:marTop w:val="0"/>
                  <w:marBottom w:val="0"/>
                  <w:divBdr>
                    <w:top w:val="none" w:sz="0" w:space="0" w:color="auto"/>
                    <w:left w:val="none" w:sz="0" w:space="0" w:color="auto"/>
                    <w:bottom w:val="none" w:sz="0" w:space="0" w:color="auto"/>
                    <w:right w:val="none" w:sz="0" w:space="0" w:color="auto"/>
                  </w:divBdr>
                  <w:divsChild>
                    <w:div w:id="586810495">
                      <w:marLeft w:val="0"/>
                      <w:marRight w:val="0"/>
                      <w:marTop w:val="0"/>
                      <w:marBottom w:val="0"/>
                      <w:divBdr>
                        <w:top w:val="none" w:sz="0" w:space="0" w:color="auto"/>
                        <w:left w:val="none" w:sz="0" w:space="0" w:color="auto"/>
                        <w:bottom w:val="none" w:sz="0" w:space="0" w:color="auto"/>
                        <w:right w:val="none" w:sz="0" w:space="0" w:color="auto"/>
                      </w:divBdr>
                    </w:div>
                  </w:divsChild>
                </w:div>
                <w:div w:id="1609047346">
                  <w:marLeft w:val="0"/>
                  <w:marRight w:val="0"/>
                  <w:marTop w:val="0"/>
                  <w:marBottom w:val="0"/>
                  <w:divBdr>
                    <w:top w:val="none" w:sz="0" w:space="0" w:color="auto"/>
                    <w:left w:val="none" w:sz="0" w:space="0" w:color="auto"/>
                    <w:bottom w:val="none" w:sz="0" w:space="0" w:color="auto"/>
                    <w:right w:val="none" w:sz="0" w:space="0" w:color="auto"/>
                  </w:divBdr>
                  <w:divsChild>
                    <w:div w:id="1632980660">
                      <w:marLeft w:val="0"/>
                      <w:marRight w:val="0"/>
                      <w:marTop w:val="0"/>
                      <w:marBottom w:val="0"/>
                      <w:divBdr>
                        <w:top w:val="none" w:sz="0" w:space="0" w:color="auto"/>
                        <w:left w:val="none" w:sz="0" w:space="0" w:color="auto"/>
                        <w:bottom w:val="none" w:sz="0" w:space="0" w:color="auto"/>
                        <w:right w:val="none" w:sz="0" w:space="0" w:color="auto"/>
                      </w:divBdr>
                    </w:div>
                    <w:div w:id="709914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118">
              <w:marLeft w:val="0"/>
              <w:marRight w:val="0"/>
              <w:marTop w:val="0"/>
              <w:marBottom w:val="0"/>
              <w:divBdr>
                <w:top w:val="none" w:sz="0" w:space="0" w:color="auto"/>
                <w:left w:val="none" w:sz="0" w:space="0" w:color="auto"/>
                <w:bottom w:val="none" w:sz="0" w:space="0" w:color="auto"/>
                <w:right w:val="none" w:sz="0" w:space="0" w:color="auto"/>
              </w:divBdr>
            </w:div>
            <w:div w:id="1237281889">
              <w:marLeft w:val="0"/>
              <w:marRight w:val="0"/>
              <w:marTop w:val="0"/>
              <w:marBottom w:val="0"/>
              <w:divBdr>
                <w:top w:val="none" w:sz="0" w:space="0" w:color="auto"/>
                <w:left w:val="none" w:sz="0" w:space="0" w:color="auto"/>
                <w:bottom w:val="none" w:sz="0" w:space="0" w:color="auto"/>
                <w:right w:val="none" w:sz="0" w:space="0" w:color="auto"/>
              </w:divBdr>
            </w:div>
            <w:div w:id="1193769113">
              <w:marLeft w:val="0"/>
              <w:marRight w:val="0"/>
              <w:marTop w:val="0"/>
              <w:marBottom w:val="0"/>
              <w:divBdr>
                <w:top w:val="none" w:sz="0" w:space="0" w:color="auto"/>
                <w:left w:val="none" w:sz="0" w:space="0" w:color="auto"/>
                <w:bottom w:val="none" w:sz="0" w:space="0" w:color="auto"/>
                <w:right w:val="none" w:sz="0" w:space="0" w:color="auto"/>
              </w:divBdr>
              <w:divsChild>
                <w:div w:id="1966736155">
                  <w:marLeft w:val="0"/>
                  <w:marRight w:val="0"/>
                  <w:marTop w:val="0"/>
                  <w:marBottom w:val="0"/>
                  <w:divBdr>
                    <w:top w:val="none" w:sz="0" w:space="0" w:color="auto"/>
                    <w:left w:val="none" w:sz="0" w:space="0" w:color="auto"/>
                    <w:bottom w:val="none" w:sz="0" w:space="0" w:color="auto"/>
                    <w:right w:val="none" w:sz="0" w:space="0" w:color="auto"/>
                  </w:divBdr>
                </w:div>
                <w:div w:id="1021199547">
                  <w:marLeft w:val="0"/>
                  <w:marRight w:val="0"/>
                  <w:marTop w:val="0"/>
                  <w:marBottom w:val="0"/>
                  <w:divBdr>
                    <w:top w:val="none" w:sz="0" w:space="0" w:color="auto"/>
                    <w:left w:val="none" w:sz="0" w:space="0" w:color="auto"/>
                    <w:bottom w:val="none" w:sz="0" w:space="0" w:color="auto"/>
                    <w:right w:val="none" w:sz="0" w:space="0" w:color="auto"/>
                  </w:divBdr>
                </w:div>
              </w:divsChild>
            </w:div>
            <w:div w:id="723943224">
              <w:marLeft w:val="0"/>
              <w:marRight w:val="0"/>
              <w:marTop w:val="0"/>
              <w:marBottom w:val="0"/>
              <w:divBdr>
                <w:top w:val="none" w:sz="0" w:space="0" w:color="auto"/>
                <w:left w:val="none" w:sz="0" w:space="0" w:color="auto"/>
                <w:bottom w:val="none" w:sz="0" w:space="0" w:color="auto"/>
                <w:right w:val="none" w:sz="0" w:space="0" w:color="auto"/>
              </w:divBdr>
              <w:divsChild>
                <w:div w:id="1259094364">
                  <w:marLeft w:val="0"/>
                  <w:marRight w:val="0"/>
                  <w:marTop w:val="0"/>
                  <w:marBottom w:val="0"/>
                  <w:divBdr>
                    <w:top w:val="none" w:sz="0" w:space="0" w:color="auto"/>
                    <w:left w:val="none" w:sz="0" w:space="0" w:color="auto"/>
                    <w:bottom w:val="none" w:sz="0" w:space="0" w:color="auto"/>
                    <w:right w:val="none" w:sz="0" w:space="0" w:color="auto"/>
                  </w:divBdr>
                  <w:divsChild>
                    <w:div w:id="1276404038">
                      <w:marLeft w:val="0"/>
                      <w:marRight w:val="0"/>
                      <w:marTop w:val="0"/>
                      <w:marBottom w:val="0"/>
                      <w:divBdr>
                        <w:top w:val="none" w:sz="0" w:space="0" w:color="auto"/>
                        <w:left w:val="none" w:sz="0" w:space="0" w:color="auto"/>
                        <w:bottom w:val="none" w:sz="0" w:space="0" w:color="auto"/>
                        <w:right w:val="none" w:sz="0" w:space="0" w:color="auto"/>
                      </w:divBdr>
                    </w:div>
                    <w:div w:id="1608778337">
                      <w:marLeft w:val="0"/>
                      <w:marRight w:val="0"/>
                      <w:marTop w:val="0"/>
                      <w:marBottom w:val="0"/>
                      <w:divBdr>
                        <w:top w:val="none" w:sz="0" w:space="0" w:color="auto"/>
                        <w:left w:val="none" w:sz="0" w:space="0" w:color="auto"/>
                        <w:bottom w:val="none" w:sz="0" w:space="0" w:color="auto"/>
                        <w:right w:val="none" w:sz="0" w:space="0" w:color="auto"/>
                      </w:divBdr>
                    </w:div>
                  </w:divsChild>
                </w:div>
                <w:div w:id="1949042766">
                  <w:marLeft w:val="0"/>
                  <w:marRight w:val="0"/>
                  <w:marTop w:val="0"/>
                  <w:marBottom w:val="0"/>
                  <w:divBdr>
                    <w:top w:val="none" w:sz="0" w:space="0" w:color="auto"/>
                    <w:left w:val="none" w:sz="0" w:space="0" w:color="auto"/>
                    <w:bottom w:val="none" w:sz="0" w:space="0" w:color="auto"/>
                    <w:right w:val="none" w:sz="0" w:space="0" w:color="auto"/>
                  </w:divBdr>
                </w:div>
              </w:divsChild>
            </w:div>
            <w:div w:id="1778745144">
              <w:marLeft w:val="0"/>
              <w:marRight w:val="0"/>
              <w:marTop w:val="0"/>
              <w:marBottom w:val="0"/>
              <w:divBdr>
                <w:top w:val="none" w:sz="0" w:space="0" w:color="auto"/>
                <w:left w:val="none" w:sz="0" w:space="0" w:color="auto"/>
                <w:bottom w:val="none" w:sz="0" w:space="0" w:color="auto"/>
                <w:right w:val="none" w:sz="0" w:space="0" w:color="auto"/>
              </w:divBdr>
              <w:divsChild>
                <w:div w:id="835851296">
                  <w:marLeft w:val="0"/>
                  <w:marRight w:val="0"/>
                  <w:marTop w:val="0"/>
                  <w:marBottom w:val="0"/>
                  <w:divBdr>
                    <w:top w:val="none" w:sz="0" w:space="0" w:color="auto"/>
                    <w:left w:val="none" w:sz="0" w:space="0" w:color="auto"/>
                    <w:bottom w:val="none" w:sz="0" w:space="0" w:color="auto"/>
                    <w:right w:val="none" w:sz="0" w:space="0" w:color="auto"/>
                  </w:divBdr>
                  <w:divsChild>
                    <w:div w:id="1134177224">
                      <w:marLeft w:val="0"/>
                      <w:marRight w:val="0"/>
                      <w:marTop w:val="0"/>
                      <w:marBottom w:val="0"/>
                      <w:divBdr>
                        <w:top w:val="none" w:sz="0" w:space="0" w:color="auto"/>
                        <w:left w:val="none" w:sz="0" w:space="0" w:color="auto"/>
                        <w:bottom w:val="none" w:sz="0" w:space="0" w:color="auto"/>
                        <w:right w:val="none" w:sz="0" w:space="0" w:color="auto"/>
                      </w:divBdr>
                    </w:div>
                  </w:divsChild>
                </w:div>
                <w:div w:id="689531847">
                  <w:marLeft w:val="0"/>
                  <w:marRight w:val="0"/>
                  <w:marTop w:val="0"/>
                  <w:marBottom w:val="0"/>
                  <w:divBdr>
                    <w:top w:val="none" w:sz="0" w:space="0" w:color="auto"/>
                    <w:left w:val="none" w:sz="0" w:space="0" w:color="auto"/>
                    <w:bottom w:val="none" w:sz="0" w:space="0" w:color="auto"/>
                    <w:right w:val="none" w:sz="0" w:space="0" w:color="auto"/>
                  </w:divBdr>
                </w:div>
                <w:div w:id="1622760540">
                  <w:marLeft w:val="0"/>
                  <w:marRight w:val="0"/>
                  <w:marTop w:val="0"/>
                  <w:marBottom w:val="0"/>
                  <w:divBdr>
                    <w:top w:val="none" w:sz="0" w:space="0" w:color="auto"/>
                    <w:left w:val="none" w:sz="0" w:space="0" w:color="auto"/>
                    <w:bottom w:val="none" w:sz="0" w:space="0" w:color="auto"/>
                    <w:right w:val="none" w:sz="0" w:space="0" w:color="auto"/>
                  </w:divBdr>
                </w:div>
              </w:divsChild>
            </w:div>
            <w:div w:id="1842237400">
              <w:marLeft w:val="0"/>
              <w:marRight w:val="0"/>
              <w:marTop w:val="0"/>
              <w:marBottom w:val="0"/>
              <w:divBdr>
                <w:top w:val="none" w:sz="0" w:space="0" w:color="auto"/>
                <w:left w:val="none" w:sz="0" w:space="0" w:color="auto"/>
                <w:bottom w:val="none" w:sz="0" w:space="0" w:color="auto"/>
                <w:right w:val="none" w:sz="0" w:space="0" w:color="auto"/>
              </w:divBdr>
              <w:divsChild>
                <w:div w:id="825168174">
                  <w:marLeft w:val="0"/>
                  <w:marRight w:val="0"/>
                  <w:marTop w:val="0"/>
                  <w:marBottom w:val="0"/>
                  <w:divBdr>
                    <w:top w:val="none" w:sz="0" w:space="0" w:color="auto"/>
                    <w:left w:val="none" w:sz="0" w:space="0" w:color="auto"/>
                    <w:bottom w:val="none" w:sz="0" w:space="0" w:color="auto"/>
                    <w:right w:val="none" w:sz="0" w:space="0" w:color="auto"/>
                  </w:divBdr>
                  <w:divsChild>
                    <w:div w:id="694773783">
                      <w:marLeft w:val="0"/>
                      <w:marRight w:val="0"/>
                      <w:marTop w:val="0"/>
                      <w:marBottom w:val="0"/>
                      <w:divBdr>
                        <w:top w:val="none" w:sz="0" w:space="0" w:color="auto"/>
                        <w:left w:val="none" w:sz="0" w:space="0" w:color="auto"/>
                        <w:bottom w:val="none" w:sz="0" w:space="0" w:color="auto"/>
                        <w:right w:val="none" w:sz="0" w:space="0" w:color="auto"/>
                      </w:divBdr>
                    </w:div>
                    <w:div w:id="1209414489">
                      <w:marLeft w:val="0"/>
                      <w:marRight w:val="0"/>
                      <w:marTop w:val="0"/>
                      <w:marBottom w:val="0"/>
                      <w:divBdr>
                        <w:top w:val="none" w:sz="0" w:space="0" w:color="auto"/>
                        <w:left w:val="none" w:sz="0" w:space="0" w:color="auto"/>
                        <w:bottom w:val="none" w:sz="0" w:space="0" w:color="auto"/>
                        <w:right w:val="none" w:sz="0" w:space="0" w:color="auto"/>
                      </w:divBdr>
                      <w:divsChild>
                        <w:div w:id="1835297498">
                          <w:marLeft w:val="0"/>
                          <w:marRight w:val="0"/>
                          <w:marTop w:val="0"/>
                          <w:marBottom w:val="0"/>
                          <w:divBdr>
                            <w:top w:val="none" w:sz="0" w:space="0" w:color="auto"/>
                            <w:left w:val="none" w:sz="0" w:space="0" w:color="auto"/>
                            <w:bottom w:val="none" w:sz="0" w:space="0" w:color="auto"/>
                            <w:right w:val="none" w:sz="0" w:space="0" w:color="auto"/>
                          </w:divBdr>
                        </w:div>
                      </w:divsChild>
                    </w:div>
                    <w:div w:id="799688687">
                      <w:marLeft w:val="0"/>
                      <w:marRight w:val="0"/>
                      <w:marTop w:val="0"/>
                      <w:marBottom w:val="0"/>
                      <w:divBdr>
                        <w:top w:val="none" w:sz="0" w:space="0" w:color="auto"/>
                        <w:left w:val="none" w:sz="0" w:space="0" w:color="auto"/>
                        <w:bottom w:val="none" w:sz="0" w:space="0" w:color="auto"/>
                        <w:right w:val="none" w:sz="0" w:space="0" w:color="auto"/>
                      </w:divBdr>
                      <w:divsChild>
                        <w:div w:id="201683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13338">
                  <w:marLeft w:val="0"/>
                  <w:marRight w:val="0"/>
                  <w:marTop w:val="0"/>
                  <w:marBottom w:val="0"/>
                  <w:divBdr>
                    <w:top w:val="none" w:sz="0" w:space="0" w:color="auto"/>
                    <w:left w:val="none" w:sz="0" w:space="0" w:color="auto"/>
                    <w:bottom w:val="none" w:sz="0" w:space="0" w:color="auto"/>
                    <w:right w:val="none" w:sz="0" w:space="0" w:color="auto"/>
                  </w:divBdr>
                  <w:divsChild>
                    <w:div w:id="210964928">
                      <w:marLeft w:val="0"/>
                      <w:marRight w:val="0"/>
                      <w:marTop w:val="0"/>
                      <w:marBottom w:val="0"/>
                      <w:divBdr>
                        <w:top w:val="none" w:sz="0" w:space="0" w:color="auto"/>
                        <w:left w:val="none" w:sz="0" w:space="0" w:color="auto"/>
                        <w:bottom w:val="none" w:sz="0" w:space="0" w:color="auto"/>
                        <w:right w:val="none" w:sz="0" w:space="0" w:color="auto"/>
                      </w:divBdr>
                    </w:div>
                  </w:divsChild>
                </w:div>
                <w:div w:id="1404445513">
                  <w:marLeft w:val="0"/>
                  <w:marRight w:val="0"/>
                  <w:marTop w:val="0"/>
                  <w:marBottom w:val="0"/>
                  <w:divBdr>
                    <w:top w:val="none" w:sz="0" w:space="0" w:color="auto"/>
                    <w:left w:val="none" w:sz="0" w:space="0" w:color="auto"/>
                    <w:bottom w:val="none" w:sz="0" w:space="0" w:color="auto"/>
                    <w:right w:val="none" w:sz="0" w:space="0" w:color="auto"/>
                  </w:divBdr>
                </w:div>
                <w:div w:id="779034584">
                  <w:marLeft w:val="0"/>
                  <w:marRight w:val="0"/>
                  <w:marTop w:val="0"/>
                  <w:marBottom w:val="0"/>
                  <w:divBdr>
                    <w:top w:val="none" w:sz="0" w:space="0" w:color="auto"/>
                    <w:left w:val="none" w:sz="0" w:space="0" w:color="auto"/>
                    <w:bottom w:val="none" w:sz="0" w:space="0" w:color="auto"/>
                    <w:right w:val="none" w:sz="0" w:space="0" w:color="auto"/>
                  </w:divBdr>
                </w:div>
                <w:div w:id="1171750784">
                  <w:marLeft w:val="0"/>
                  <w:marRight w:val="0"/>
                  <w:marTop w:val="0"/>
                  <w:marBottom w:val="0"/>
                  <w:divBdr>
                    <w:top w:val="none" w:sz="0" w:space="0" w:color="auto"/>
                    <w:left w:val="none" w:sz="0" w:space="0" w:color="auto"/>
                    <w:bottom w:val="none" w:sz="0" w:space="0" w:color="auto"/>
                    <w:right w:val="none" w:sz="0" w:space="0" w:color="auto"/>
                  </w:divBdr>
                </w:div>
              </w:divsChild>
            </w:div>
            <w:div w:id="539435974">
              <w:marLeft w:val="0"/>
              <w:marRight w:val="0"/>
              <w:marTop w:val="0"/>
              <w:marBottom w:val="0"/>
              <w:divBdr>
                <w:top w:val="none" w:sz="0" w:space="0" w:color="auto"/>
                <w:left w:val="none" w:sz="0" w:space="0" w:color="auto"/>
                <w:bottom w:val="none" w:sz="0" w:space="0" w:color="auto"/>
                <w:right w:val="none" w:sz="0" w:space="0" w:color="auto"/>
              </w:divBdr>
              <w:divsChild>
                <w:div w:id="1036976139">
                  <w:marLeft w:val="0"/>
                  <w:marRight w:val="0"/>
                  <w:marTop w:val="480"/>
                  <w:marBottom w:val="480"/>
                  <w:divBdr>
                    <w:top w:val="none" w:sz="0" w:space="0" w:color="auto"/>
                    <w:left w:val="none" w:sz="0" w:space="0" w:color="auto"/>
                    <w:bottom w:val="none" w:sz="0" w:space="0" w:color="auto"/>
                    <w:right w:val="none" w:sz="0" w:space="0" w:color="auto"/>
                  </w:divBdr>
                </w:div>
              </w:divsChild>
            </w:div>
            <w:div w:id="1763379517">
              <w:marLeft w:val="0"/>
              <w:marRight w:val="0"/>
              <w:marTop w:val="0"/>
              <w:marBottom w:val="0"/>
              <w:divBdr>
                <w:top w:val="none" w:sz="0" w:space="0" w:color="auto"/>
                <w:left w:val="none" w:sz="0" w:space="0" w:color="auto"/>
                <w:bottom w:val="none" w:sz="0" w:space="0" w:color="auto"/>
                <w:right w:val="none" w:sz="0" w:space="0" w:color="auto"/>
              </w:divBdr>
              <w:divsChild>
                <w:div w:id="1775441293">
                  <w:marLeft w:val="0"/>
                  <w:marRight w:val="0"/>
                  <w:marTop w:val="0"/>
                  <w:marBottom w:val="0"/>
                  <w:divBdr>
                    <w:top w:val="none" w:sz="0" w:space="0" w:color="auto"/>
                    <w:left w:val="none" w:sz="0" w:space="0" w:color="auto"/>
                    <w:bottom w:val="none" w:sz="0" w:space="0" w:color="auto"/>
                    <w:right w:val="none" w:sz="0" w:space="0" w:color="auto"/>
                  </w:divBdr>
                </w:div>
                <w:div w:id="1259175220">
                  <w:marLeft w:val="0"/>
                  <w:marRight w:val="0"/>
                  <w:marTop w:val="0"/>
                  <w:marBottom w:val="0"/>
                  <w:divBdr>
                    <w:top w:val="none" w:sz="0" w:space="0" w:color="auto"/>
                    <w:left w:val="none" w:sz="0" w:space="0" w:color="auto"/>
                    <w:bottom w:val="none" w:sz="0" w:space="0" w:color="auto"/>
                    <w:right w:val="none" w:sz="0" w:space="0" w:color="auto"/>
                  </w:divBdr>
                  <w:divsChild>
                    <w:div w:id="1102185107">
                      <w:marLeft w:val="0"/>
                      <w:marRight w:val="0"/>
                      <w:marTop w:val="0"/>
                      <w:marBottom w:val="0"/>
                      <w:divBdr>
                        <w:top w:val="none" w:sz="0" w:space="0" w:color="auto"/>
                        <w:left w:val="none" w:sz="0" w:space="0" w:color="auto"/>
                        <w:bottom w:val="none" w:sz="0" w:space="0" w:color="auto"/>
                        <w:right w:val="none" w:sz="0" w:space="0" w:color="auto"/>
                      </w:divBdr>
                    </w:div>
                  </w:divsChild>
                </w:div>
                <w:div w:id="1848858596">
                  <w:marLeft w:val="0"/>
                  <w:marRight w:val="0"/>
                  <w:marTop w:val="0"/>
                  <w:marBottom w:val="0"/>
                  <w:divBdr>
                    <w:top w:val="none" w:sz="0" w:space="0" w:color="auto"/>
                    <w:left w:val="none" w:sz="0" w:space="0" w:color="auto"/>
                    <w:bottom w:val="none" w:sz="0" w:space="0" w:color="auto"/>
                    <w:right w:val="none" w:sz="0" w:space="0" w:color="auto"/>
                  </w:divBdr>
                  <w:divsChild>
                    <w:div w:id="415327339">
                      <w:marLeft w:val="0"/>
                      <w:marRight w:val="0"/>
                      <w:marTop w:val="0"/>
                      <w:marBottom w:val="0"/>
                      <w:divBdr>
                        <w:top w:val="none" w:sz="0" w:space="0" w:color="auto"/>
                        <w:left w:val="none" w:sz="0" w:space="0" w:color="auto"/>
                        <w:bottom w:val="none" w:sz="0" w:space="0" w:color="auto"/>
                        <w:right w:val="none" w:sz="0" w:space="0" w:color="auto"/>
                      </w:divBdr>
                    </w:div>
                    <w:div w:id="97141147">
                      <w:marLeft w:val="0"/>
                      <w:marRight w:val="0"/>
                      <w:marTop w:val="0"/>
                      <w:marBottom w:val="0"/>
                      <w:divBdr>
                        <w:top w:val="none" w:sz="0" w:space="0" w:color="auto"/>
                        <w:left w:val="none" w:sz="0" w:space="0" w:color="auto"/>
                        <w:bottom w:val="none" w:sz="0" w:space="0" w:color="auto"/>
                        <w:right w:val="none" w:sz="0" w:space="0" w:color="auto"/>
                      </w:divBdr>
                    </w:div>
                    <w:div w:id="78060598">
                      <w:marLeft w:val="0"/>
                      <w:marRight w:val="0"/>
                      <w:marTop w:val="0"/>
                      <w:marBottom w:val="0"/>
                      <w:divBdr>
                        <w:top w:val="none" w:sz="0" w:space="0" w:color="auto"/>
                        <w:left w:val="none" w:sz="0" w:space="0" w:color="auto"/>
                        <w:bottom w:val="none" w:sz="0" w:space="0" w:color="auto"/>
                        <w:right w:val="none" w:sz="0" w:space="0" w:color="auto"/>
                      </w:divBdr>
                    </w:div>
                    <w:div w:id="1658805316">
                      <w:marLeft w:val="0"/>
                      <w:marRight w:val="0"/>
                      <w:marTop w:val="0"/>
                      <w:marBottom w:val="0"/>
                      <w:divBdr>
                        <w:top w:val="none" w:sz="0" w:space="0" w:color="auto"/>
                        <w:left w:val="none" w:sz="0" w:space="0" w:color="auto"/>
                        <w:bottom w:val="none" w:sz="0" w:space="0" w:color="auto"/>
                        <w:right w:val="none" w:sz="0" w:space="0" w:color="auto"/>
                      </w:divBdr>
                    </w:div>
                    <w:div w:id="1005088851">
                      <w:marLeft w:val="0"/>
                      <w:marRight w:val="0"/>
                      <w:marTop w:val="0"/>
                      <w:marBottom w:val="0"/>
                      <w:divBdr>
                        <w:top w:val="none" w:sz="0" w:space="0" w:color="auto"/>
                        <w:left w:val="none" w:sz="0" w:space="0" w:color="auto"/>
                        <w:bottom w:val="none" w:sz="0" w:space="0" w:color="auto"/>
                        <w:right w:val="none" w:sz="0" w:space="0" w:color="auto"/>
                      </w:divBdr>
                    </w:div>
                    <w:div w:id="1299190691">
                      <w:marLeft w:val="0"/>
                      <w:marRight w:val="0"/>
                      <w:marTop w:val="0"/>
                      <w:marBottom w:val="0"/>
                      <w:divBdr>
                        <w:top w:val="none" w:sz="0" w:space="0" w:color="auto"/>
                        <w:left w:val="none" w:sz="0" w:space="0" w:color="auto"/>
                        <w:bottom w:val="none" w:sz="0" w:space="0" w:color="auto"/>
                        <w:right w:val="none" w:sz="0" w:space="0" w:color="auto"/>
                      </w:divBdr>
                    </w:div>
                    <w:div w:id="940264102">
                      <w:marLeft w:val="0"/>
                      <w:marRight w:val="0"/>
                      <w:marTop w:val="0"/>
                      <w:marBottom w:val="0"/>
                      <w:divBdr>
                        <w:top w:val="none" w:sz="0" w:space="0" w:color="auto"/>
                        <w:left w:val="none" w:sz="0" w:space="0" w:color="auto"/>
                        <w:bottom w:val="none" w:sz="0" w:space="0" w:color="auto"/>
                        <w:right w:val="none" w:sz="0" w:space="0" w:color="auto"/>
                      </w:divBdr>
                      <w:divsChild>
                        <w:div w:id="1912885843">
                          <w:marLeft w:val="0"/>
                          <w:marRight w:val="0"/>
                          <w:marTop w:val="0"/>
                          <w:marBottom w:val="0"/>
                          <w:divBdr>
                            <w:top w:val="none" w:sz="0" w:space="0" w:color="auto"/>
                            <w:left w:val="none" w:sz="0" w:space="0" w:color="auto"/>
                            <w:bottom w:val="none" w:sz="0" w:space="0" w:color="auto"/>
                            <w:right w:val="none" w:sz="0" w:space="0" w:color="auto"/>
                          </w:divBdr>
                        </w:div>
                        <w:div w:id="1304457863">
                          <w:marLeft w:val="0"/>
                          <w:marRight w:val="0"/>
                          <w:marTop w:val="0"/>
                          <w:marBottom w:val="0"/>
                          <w:divBdr>
                            <w:top w:val="none" w:sz="0" w:space="0" w:color="auto"/>
                            <w:left w:val="none" w:sz="0" w:space="0" w:color="auto"/>
                            <w:bottom w:val="none" w:sz="0" w:space="0" w:color="auto"/>
                            <w:right w:val="none" w:sz="0" w:space="0" w:color="auto"/>
                          </w:divBdr>
                        </w:div>
                        <w:div w:id="1042751624">
                          <w:marLeft w:val="0"/>
                          <w:marRight w:val="0"/>
                          <w:marTop w:val="0"/>
                          <w:marBottom w:val="0"/>
                          <w:divBdr>
                            <w:top w:val="none" w:sz="0" w:space="0" w:color="auto"/>
                            <w:left w:val="none" w:sz="0" w:space="0" w:color="auto"/>
                            <w:bottom w:val="none" w:sz="0" w:space="0" w:color="auto"/>
                            <w:right w:val="none" w:sz="0" w:space="0" w:color="auto"/>
                          </w:divBdr>
                        </w:div>
                        <w:div w:id="261300231">
                          <w:marLeft w:val="0"/>
                          <w:marRight w:val="0"/>
                          <w:marTop w:val="0"/>
                          <w:marBottom w:val="0"/>
                          <w:divBdr>
                            <w:top w:val="none" w:sz="0" w:space="0" w:color="auto"/>
                            <w:left w:val="none" w:sz="0" w:space="0" w:color="auto"/>
                            <w:bottom w:val="none" w:sz="0" w:space="0" w:color="auto"/>
                            <w:right w:val="none" w:sz="0" w:space="0" w:color="auto"/>
                          </w:divBdr>
                        </w:div>
                      </w:divsChild>
                    </w:div>
                    <w:div w:id="370501779">
                      <w:marLeft w:val="0"/>
                      <w:marRight w:val="0"/>
                      <w:marTop w:val="0"/>
                      <w:marBottom w:val="0"/>
                      <w:divBdr>
                        <w:top w:val="none" w:sz="0" w:space="0" w:color="auto"/>
                        <w:left w:val="none" w:sz="0" w:space="0" w:color="auto"/>
                        <w:bottom w:val="none" w:sz="0" w:space="0" w:color="auto"/>
                        <w:right w:val="none" w:sz="0" w:space="0" w:color="auto"/>
                      </w:divBdr>
                      <w:divsChild>
                        <w:div w:id="1147239368">
                          <w:marLeft w:val="0"/>
                          <w:marRight w:val="0"/>
                          <w:marTop w:val="0"/>
                          <w:marBottom w:val="0"/>
                          <w:divBdr>
                            <w:top w:val="none" w:sz="0" w:space="0" w:color="auto"/>
                            <w:left w:val="none" w:sz="0" w:space="0" w:color="auto"/>
                            <w:bottom w:val="none" w:sz="0" w:space="0" w:color="auto"/>
                            <w:right w:val="none" w:sz="0" w:space="0" w:color="auto"/>
                          </w:divBdr>
                          <w:divsChild>
                            <w:div w:id="1851675559">
                              <w:marLeft w:val="0"/>
                              <w:marRight w:val="0"/>
                              <w:marTop w:val="0"/>
                              <w:marBottom w:val="0"/>
                              <w:divBdr>
                                <w:top w:val="none" w:sz="0" w:space="0" w:color="auto"/>
                                <w:left w:val="none" w:sz="0" w:space="0" w:color="auto"/>
                                <w:bottom w:val="none" w:sz="0" w:space="0" w:color="auto"/>
                                <w:right w:val="none" w:sz="0" w:space="0" w:color="auto"/>
                              </w:divBdr>
                            </w:div>
                            <w:div w:id="1559903284">
                              <w:marLeft w:val="0"/>
                              <w:marRight w:val="0"/>
                              <w:marTop w:val="0"/>
                              <w:marBottom w:val="0"/>
                              <w:divBdr>
                                <w:top w:val="none" w:sz="0" w:space="0" w:color="auto"/>
                                <w:left w:val="none" w:sz="0" w:space="0" w:color="auto"/>
                                <w:bottom w:val="none" w:sz="0" w:space="0" w:color="auto"/>
                                <w:right w:val="none" w:sz="0" w:space="0" w:color="auto"/>
                              </w:divBdr>
                            </w:div>
                            <w:div w:id="867985714">
                              <w:marLeft w:val="0"/>
                              <w:marRight w:val="0"/>
                              <w:marTop w:val="0"/>
                              <w:marBottom w:val="0"/>
                              <w:divBdr>
                                <w:top w:val="none" w:sz="0" w:space="0" w:color="auto"/>
                                <w:left w:val="none" w:sz="0" w:space="0" w:color="auto"/>
                                <w:bottom w:val="none" w:sz="0" w:space="0" w:color="auto"/>
                                <w:right w:val="none" w:sz="0" w:space="0" w:color="auto"/>
                              </w:divBdr>
                            </w:div>
                            <w:div w:id="1155147586">
                              <w:marLeft w:val="0"/>
                              <w:marRight w:val="0"/>
                              <w:marTop w:val="0"/>
                              <w:marBottom w:val="0"/>
                              <w:divBdr>
                                <w:top w:val="none" w:sz="0" w:space="0" w:color="auto"/>
                                <w:left w:val="none" w:sz="0" w:space="0" w:color="auto"/>
                                <w:bottom w:val="none" w:sz="0" w:space="0" w:color="auto"/>
                                <w:right w:val="none" w:sz="0" w:space="0" w:color="auto"/>
                              </w:divBdr>
                            </w:div>
                            <w:div w:id="622538123">
                              <w:marLeft w:val="0"/>
                              <w:marRight w:val="0"/>
                              <w:marTop w:val="0"/>
                              <w:marBottom w:val="0"/>
                              <w:divBdr>
                                <w:top w:val="none" w:sz="0" w:space="0" w:color="auto"/>
                                <w:left w:val="none" w:sz="0" w:space="0" w:color="auto"/>
                                <w:bottom w:val="none" w:sz="0" w:space="0" w:color="auto"/>
                                <w:right w:val="none" w:sz="0" w:space="0" w:color="auto"/>
                              </w:divBdr>
                            </w:div>
                          </w:divsChild>
                        </w:div>
                        <w:div w:id="59136570">
                          <w:marLeft w:val="0"/>
                          <w:marRight w:val="0"/>
                          <w:marTop w:val="0"/>
                          <w:marBottom w:val="0"/>
                          <w:divBdr>
                            <w:top w:val="none" w:sz="0" w:space="0" w:color="auto"/>
                            <w:left w:val="none" w:sz="0" w:space="0" w:color="auto"/>
                            <w:bottom w:val="none" w:sz="0" w:space="0" w:color="auto"/>
                            <w:right w:val="none" w:sz="0" w:space="0" w:color="auto"/>
                          </w:divBdr>
                          <w:divsChild>
                            <w:div w:id="1700204694">
                              <w:marLeft w:val="0"/>
                              <w:marRight w:val="0"/>
                              <w:marTop w:val="0"/>
                              <w:marBottom w:val="0"/>
                              <w:divBdr>
                                <w:top w:val="none" w:sz="0" w:space="0" w:color="auto"/>
                                <w:left w:val="none" w:sz="0" w:space="0" w:color="auto"/>
                                <w:bottom w:val="none" w:sz="0" w:space="0" w:color="auto"/>
                                <w:right w:val="none" w:sz="0" w:space="0" w:color="auto"/>
                              </w:divBdr>
                            </w:div>
                            <w:div w:id="124499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8055902">
              <w:marLeft w:val="0"/>
              <w:marRight w:val="0"/>
              <w:marTop w:val="0"/>
              <w:marBottom w:val="0"/>
              <w:divBdr>
                <w:top w:val="none" w:sz="0" w:space="0" w:color="auto"/>
                <w:left w:val="none" w:sz="0" w:space="0" w:color="auto"/>
                <w:bottom w:val="none" w:sz="0" w:space="0" w:color="auto"/>
                <w:right w:val="none" w:sz="0" w:space="0" w:color="auto"/>
              </w:divBdr>
              <w:divsChild>
                <w:div w:id="9650832">
                  <w:marLeft w:val="0"/>
                  <w:marRight w:val="0"/>
                  <w:marTop w:val="0"/>
                  <w:marBottom w:val="0"/>
                  <w:divBdr>
                    <w:top w:val="none" w:sz="0" w:space="0" w:color="auto"/>
                    <w:left w:val="none" w:sz="0" w:space="0" w:color="auto"/>
                    <w:bottom w:val="none" w:sz="0" w:space="0" w:color="auto"/>
                    <w:right w:val="none" w:sz="0" w:space="0" w:color="auto"/>
                  </w:divBdr>
                </w:div>
              </w:divsChild>
            </w:div>
            <w:div w:id="1218009707">
              <w:marLeft w:val="0"/>
              <w:marRight w:val="0"/>
              <w:marTop w:val="0"/>
              <w:marBottom w:val="0"/>
              <w:divBdr>
                <w:top w:val="none" w:sz="0" w:space="0" w:color="auto"/>
                <w:left w:val="none" w:sz="0" w:space="0" w:color="auto"/>
                <w:bottom w:val="none" w:sz="0" w:space="0" w:color="auto"/>
                <w:right w:val="none" w:sz="0" w:space="0" w:color="auto"/>
              </w:divBdr>
              <w:divsChild>
                <w:div w:id="949975815">
                  <w:marLeft w:val="0"/>
                  <w:marRight w:val="0"/>
                  <w:marTop w:val="0"/>
                  <w:marBottom w:val="0"/>
                  <w:divBdr>
                    <w:top w:val="none" w:sz="0" w:space="0" w:color="auto"/>
                    <w:left w:val="none" w:sz="0" w:space="0" w:color="auto"/>
                    <w:bottom w:val="none" w:sz="0" w:space="0" w:color="auto"/>
                    <w:right w:val="none" w:sz="0" w:space="0" w:color="auto"/>
                  </w:divBdr>
                </w:div>
                <w:div w:id="2022706232">
                  <w:marLeft w:val="0"/>
                  <w:marRight w:val="0"/>
                  <w:marTop w:val="0"/>
                  <w:marBottom w:val="0"/>
                  <w:divBdr>
                    <w:top w:val="none" w:sz="0" w:space="0" w:color="auto"/>
                    <w:left w:val="none" w:sz="0" w:space="0" w:color="auto"/>
                    <w:bottom w:val="none" w:sz="0" w:space="0" w:color="auto"/>
                    <w:right w:val="none" w:sz="0" w:space="0" w:color="auto"/>
                  </w:divBdr>
                </w:div>
              </w:divsChild>
            </w:div>
            <w:div w:id="1204908705">
              <w:marLeft w:val="0"/>
              <w:marRight w:val="0"/>
              <w:marTop w:val="0"/>
              <w:marBottom w:val="0"/>
              <w:divBdr>
                <w:top w:val="none" w:sz="0" w:space="0" w:color="auto"/>
                <w:left w:val="none" w:sz="0" w:space="0" w:color="auto"/>
                <w:bottom w:val="none" w:sz="0" w:space="0" w:color="auto"/>
                <w:right w:val="none" w:sz="0" w:space="0" w:color="auto"/>
              </w:divBdr>
              <w:divsChild>
                <w:div w:id="1745452433">
                  <w:marLeft w:val="0"/>
                  <w:marRight w:val="0"/>
                  <w:marTop w:val="0"/>
                  <w:marBottom w:val="0"/>
                  <w:divBdr>
                    <w:top w:val="none" w:sz="0" w:space="0" w:color="auto"/>
                    <w:left w:val="none" w:sz="0" w:space="0" w:color="auto"/>
                    <w:bottom w:val="none" w:sz="0" w:space="0" w:color="auto"/>
                    <w:right w:val="none" w:sz="0" w:space="0" w:color="auto"/>
                  </w:divBdr>
                </w:div>
              </w:divsChild>
            </w:div>
            <w:div w:id="1476870818">
              <w:marLeft w:val="0"/>
              <w:marRight w:val="0"/>
              <w:marTop w:val="0"/>
              <w:marBottom w:val="0"/>
              <w:divBdr>
                <w:top w:val="none" w:sz="0" w:space="0" w:color="auto"/>
                <w:left w:val="none" w:sz="0" w:space="0" w:color="auto"/>
                <w:bottom w:val="none" w:sz="0" w:space="0" w:color="auto"/>
                <w:right w:val="none" w:sz="0" w:space="0" w:color="auto"/>
              </w:divBdr>
              <w:divsChild>
                <w:div w:id="844243148">
                  <w:marLeft w:val="0"/>
                  <w:marRight w:val="0"/>
                  <w:marTop w:val="0"/>
                  <w:marBottom w:val="0"/>
                  <w:divBdr>
                    <w:top w:val="none" w:sz="0" w:space="0" w:color="auto"/>
                    <w:left w:val="none" w:sz="0" w:space="0" w:color="auto"/>
                    <w:bottom w:val="none" w:sz="0" w:space="0" w:color="auto"/>
                    <w:right w:val="none" w:sz="0" w:space="0" w:color="auto"/>
                  </w:divBdr>
                </w:div>
                <w:div w:id="1438209276">
                  <w:marLeft w:val="0"/>
                  <w:marRight w:val="0"/>
                  <w:marTop w:val="0"/>
                  <w:marBottom w:val="0"/>
                  <w:divBdr>
                    <w:top w:val="none" w:sz="0" w:space="0" w:color="auto"/>
                    <w:left w:val="none" w:sz="0" w:space="0" w:color="auto"/>
                    <w:bottom w:val="none" w:sz="0" w:space="0" w:color="auto"/>
                    <w:right w:val="none" w:sz="0" w:space="0" w:color="auto"/>
                  </w:divBdr>
                </w:div>
                <w:div w:id="1930038135">
                  <w:marLeft w:val="0"/>
                  <w:marRight w:val="0"/>
                  <w:marTop w:val="0"/>
                  <w:marBottom w:val="0"/>
                  <w:divBdr>
                    <w:top w:val="none" w:sz="0" w:space="0" w:color="auto"/>
                    <w:left w:val="none" w:sz="0" w:space="0" w:color="auto"/>
                    <w:bottom w:val="none" w:sz="0" w:space="0" w:color="auto"/>
                    <w:right w:val="none" w:sz="0" w:space="0" w:color="auto"/>
                  </w:divBdr>
                </w:div>
              </w:divsChild>
            </w:div>
            <w:div w:id="1902790299">
              <w:marLeft w:val="0"/>
              <w:marRight w:val="0"/>
              <w:marTop w:val="0"/>
              <w:marBottom w:val="0"/>
              <w:divBdr>
                <w:top w:val="none" w:sz="0" w:space="0" w:color="auto"/>
                <w:left w:val="none" w:sz="0" w:space="0" w:color="auto"/>
                <w:bottom w:val="none" w:sz="0" w:space="0" w:color="auto"/>
                <w:right w:val="none" w:sz="0" w:space="0" w:color="auto"/>
              </w:divBdr>
              <w:divsChild>
                <w:div w:id="1468817684">
                  <w:marLeft w:val="0"/>
                  <w:marRight w:val="0"/>
                  <w:marTop w:val="480"/>
                  <w:marBottom w:val="480"/>
                  <w:divBdr>
                    <w:top w:val="none" w:sz="0" w:space="0" w:color="auto"/>
                    <w:left w:val="none" w:sz="0" w:space="0" w:color="auto"/>
                    <w:bottom w:val="none" w:sz="0" w:space="0" w:color="auto"/>
                    <w:right w:val="none" w:sz="0" w:space="0" w:color="auto"/>
                  </w:divBdr>
                </w:div>
              </w:divsChild>
            </w:div>
            <w:div w:id="405297802">
              <w:marLeft w:val="0"/>
              <w:marRight w:val="0"/>
              <w:marTop w:val="0"/>
              <w:marBottom w:val="0"/>
              <w:divBdr>
                <w:top w:val="none" w:sz="0" w:space="0" w:color="auto"/>
                <w:left w:val="none" w:sz="0" w:space="0" w:color="auto"/>
                <w:bottom w:val="none" w:sz="0" w:space="0" w:color="auto"/>
                <w:right w:val="none" w:sz="0" w:space="0" w:color="auto"/>
              </w:divBdr>
            </w:div>
          </w:divsChild>
        </w:div>
        <w:div w:id="1818498854">
          <w:marLeft w:val="0"/>
          <w:marRight w:val="0"/>
          <w:marTop w:val="120"/>
          <w:marBottom w:val="120"/>
          <w:divBdr>
            <w:top w:val="none" w:sz="0" w:space="0" w:color="auto"/>
            <w:left w:val="none" w:sz="0" w:space="0" w:color="auto"/>
            <w:bottom w:val="none" w:sz="0" w:space="0" w:color="auto"/>
            <w:right w:val="none" w:sz="0" w:space="0" w:color="auto"/>
          </w:divBdr>
        </w:div>
        <w:div w:id="245000624">
          <w:marLeft w:val="0"/>
          <w:marRight w:val="0"/>
          <w:marTop w:val="12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abeling.pfizer.com/ShowLabeling.aspx?id=19593" TargetMode="External"/><Relationship Id="rId21" Type="http://schemas.openxmlformats.org/officeDocument/2006/relationships/hyperlink" Target="http://www.fda.gov/medwatch" TargetMode="External"/><Relationship Id="rId42" Type="http://schemas.openxmlformats.org/officeDocument/2006/relationships/hyperlink" Target="https://labeling.pfizer.com/ShowLabeling.aspx?id=19593" TargetMode="External"/><Relationship Id="rId47" Type="http://schemas.openxmlformats.org/officeDocument/2006/relationships/hyperlink" Target="https://labeling.pfizer.com/ShowLabeling.aspx?id=19593" TargetMode="External"/><Relationship Id="rId63" Type="http://schemas.openxmlformats.org/officeDocument/2006/relationships/hyperlink" Target="https://labeling.pfizer.com/ShowLabeling.aspx?id=19593" TargetMode="External"/><Relationship Id="rId68" Type="http://schemas.openxmlformats.org/officeDocument/2006/relationships/hyperlink" Target="https://labeling.pfizer.com/ShowLabeling.aspx?id=19593" TargetMode="External"/><Relationship Id="rId84" Type="http://schemas.openxmlformats.org/officeDocument/2006/relationships/hyperlink" Target="https://labeling.pfizer.com/ShowLabeling.aspx?id=19593" TargetMode="External"/><Relationship Id="rId89" Type="http://schemas.openxmlformats.org/officeDocument/2006/relationships/hyperlink" Target="https://labeling.pfizer.com/ShowLabeling.aspx?id=19593" TargetMode="External"/><Relationship Id="rId112" Type="http://schemas.openxmlformats.org/officeDocument/2006/relationships/hyperlink" Target="https://labeling.pfizer.com/ShowLabeling.aspx?id=19593" TargetMode="External"/><Relationship Id="rId16" Type="http://schemas.openxmlformats.org/officeDocument/2006/relationships/hyperlink" Target="https://labeling.pfizer.com/ShowLabeling.aspx?id=19593" TargetMode="External"/><Relationship Id="rId107" Type="http://schemas.openxmlformats.org/officeDocument/2006/relationships/image" Target="media/image2.jpeg"/><Relationship Id="rId11" Type="http://schemas.openxmlformats.org/officeDocument/2006/relationships/hyperlink" Target="https://labeling.pfizer.com/ShowLabeling.aspx?id=19593" TargetMode="External"/><Relationship Id="rId32" Type="http://schemas.openxmlformats.org/officeDocument/2006/relationships/hyperlink" Target="https://labeling.pfizer.com/ShowLabeling.aspx?id=19593" TargetMode="External"/><Relationship Id="rId37" Type="http://schemas.openxmlformats.org/officeDocument/2006/relationships/hyperlink" Target="https://labeling.pfizer.com/ShowLabeling.aspx?id=19593" TargetMode="External"/><Relationship Id="rId53" Type="http://schemas.openxmlformats.org/officeDocument/2006/relationships/hyperlink" Target="https://labeling.pfizer.com/ShowLabeling.aspx?id=19593" TargetMode="External"/><Relationship Id="rId58" Type="http://schemas.openxmlformats.org/officeDocument/2006/relationships/hyperlink" Target="https://labeling.pfizer.com/ShowLabeling.aspx?id=19593" TargetMode="External"/><Relationship Id="rId74" Type="http://schemas.openxmlformats.org/officeDocument/2006/relationships/hyperlink" Target="https://labeling.pfizer.com/ShowLabeling.aspx?id=19593" TargetMode="External"/><Relationship Id="rId79" Type="http://schemas.openxmlformats.org/officeDocument/2006/relationships/hyperlink" Target="https://labeling.pfizer.com/ShowLabeling.aspx?id=19593" TargetMode="External"/><Relationship Id="rId102" Type="http://schemas.openxmlformats.org/officeDocument/2006/relationships/hyperlink" Target="https://labeling.pfizer.com/ShowLabeling.aspx?id=19593" TargetMode="External"/><Relationship Id="rId123" Type="http://schemas.openxmlformats.org/officeDocument/2006/relationships/image" Target="media/image7.jpeg"/><Relationship Id="rId128" Type="http://schemas.openxmlformats.org/officeDocument/2006/relationships/fontTable" Target="fontTable.xml"/><Relationship Id="rId5" Type="http://schemas.openxmlformats.org/officeDocument/2006/relationships/hyperlink" Target="https://labeling.pfizer.com/ShowLabeling.aspx?id=19593" TargetMode="External"/><Relationship Id="rId90" Type="http://schemas.openxmlformats.org/officeDocument/2006/relationships/hyperlink" Target="https://labeling.pfizer.com/ShowLabeling.aspx?id=19593" TargetMode="External"/><Relationship Id="rId95" Type="http://schemas.openxmlformats.org/officeDocument/2006/relationships/hyperlink" Target="https://labeling.pfizer.com/ShowLabeling.aspx?id=19593" TargetMode="External"/><Relationship Id="rId22" Type="http://schemas.openxmlformats.org/officeDocument/2006/relationships/hyperlink" Target="https://labeling.pfizer.com/ShowLabeling.aspx?id=19593" TargetMode="External"/><Relationship Id="rId27" Type="http://schemas.openxmlformats.org/officeDocument/2006/relationships/hyperlink" Target="https://labeling.pfizer.com/ShowLabeling.aspx?id=19593" TargetMode="External"/><Relationship Id="rId43" Type="http://schemas.openxmlformats.org/officeDocument/2006/relationships/hyperlink" Target="https://labeling.pfizer.com/ShowLabeling.aspx?id=19593" TargetMode="External"/><Relationship Id="rId48" Type="http://schemas.openxmlformats.org/officeDocument/2006/relationships/hyperlink" Target="https://labeling.pfizer.com/ShowLabeling.aspx?id=19593" TargetMode="External"/><Relationship Id="rId64" Type="http://schemas.openxmlformats.org/officeDocument/2006/relationships/hyperlink" Target="https://labeling.pfizer.com/ShowLabeling.aspx?id=19593" TargetMode="External"/><Relationship Id="rId69" Type="http://schemas.openxmlformats.org/officeDocument/2006/relationships/hyperlink" Target="https://labeling.pfizer.com/ShowLabeling.aspx?id=19593" TargetMode="External"/><Relationship Id="rId113" Type="http://schemas.openxmlformats.org/officeDocument/2006/relationships/hyperlink" Target="https://labeling.pfizer.com/ShowLabeling.aspx?id=19593" TargetMode="External"/><Relationship Id="rId118" Type="http://schemas.openxmlformats.org/officeDocument/2006/relationships/hyperlink" Target="http://www.pfizer.com/" TargetMode="External"/><Relationship Id="rId80" Type="http://schemas.openxmlformats.org/officeDocument/2006/relationships/hyperlink" Target="https://labeling.pfizer.com/ShowLabeling.aspx?id=19593" TargetMode="External"/><Relationship Id="rId85" Type="http://schemas.openxmlformats.org/officeDocument/2006/relationships/hyperlink" Target="https://labeling.pfizer.com/ShowLabeling.aspx?id=19593" TargetMode="External"/><Relationship Id="rId12" Type="http://schemas.openxmlformats.org/officeDocument/2006/relationships/hyperlink" Target="https://labeling.pfizer.com/ShowLabeling.aspx?id=19593" TargetMode="External"/><Relationship Id="rId17" Type="http://schemas.openxmlformats.org/officeDocument/2006/relationships/hyperlink" Target="https://labeling.pfizer.com/ShowLabeling.aspx?id=19593" TargetMode="External"/><Relationship Id="rId33" Type="http://schemas.openxmlformats.org/officeDocument/2006/relationships/hyperlink" Target="https://labeling.pfizer.com/ShowLabeling.aspx?id=19593" TargetMode="External"/><Relationship Id="rId38" Type="http://schemas.openxmlformats.org/officeDocument/2006/relationships/hyperlink" Target="https://labeling.pfizer.com/ShowLabeling.aspx?id=19593" TargetMode="External"/><Relationship Id="rId59" Type="http://schemas.openxmlformats.org/officeDocument/2006/relationships/hyperlink" Target="https://labeling.pfizer.com/ShowLabeling.aspx?id=19593" TargetMode="External"/><Relationship Id="rId103" Type="http://schemas.openxmlformats.org/officeDocument/2006/relationships/hyperlink" Target="https://labeling.pfizer.com/ShowLabeling.aspx?id=19593" TargetMode="External"/><Relationship Id="rId108" Type="http://schemas.openxmlformats.org/officeDocument/2006/relationships/hyperlink" Target="https://labeling.pfizer.com/ShowLabeling.aspx?id=19593" TargetMode="External"/><Relationship Id="rId124" Type="http://schemas.openxmlformats.org/officeDocument/2006/relationships/image" Target="media/image8.jpeg"/><Relationship Id="rId129" Type="http://schemas.openxmlformats.org/officeDocument/2006/relationships/theme" Target="theme/theme1.xml"/><Relationship Id="rId54" Type="http://schemas.openxmlformats.org/officeDocument/2006/relationships/hyperlink" Target="https://labeling.pfizer.com/ShowLabeling.aspx?id=19593" TargetMode="External"/><Relationship Id="rId70" Type="http://schemas.openxmlformats.org/officeDocument/2006/relationships/hyperlink" Target="https://labeling.pfizer.com/ShowLabeling.aspx?id=19593" TargetMode="External"/><Relationship Id="rId75" Type="http://schemas.openxmlformats.org/officeDocument/2006/relationships/hyperlink" Target="https://labeling.pfizer.com/ShowLabeling.aspx?id=19593" TargetMode="External"/><Relationship Id="rId91" Type="http://schemas.openxmlformats.org/officeDocument/2006/relationships/hyperlink" Target="https://labeling.pfizer.com/ShowLabeling.aspx?id=19593" TargetMode="External"/><Relationship Id="rId96" Type="http://schemas.openxmlformats.org/officeDocument/2006/relationships/hyperlink" Target="https://labeling.pfizer.com/ShowLabeling.aspx?id=19593" TargetMode="External"/><Relationship Id="rId1" Type="http://schemas.openxmlformats.org/officeDocument/2006/relationships/styles" Target="styles.xml"/><Relationship Id="rId6" Type="http://schemas.openxmlformats.org/officeDocument/2006/relationships/hyperlink" Target="https://labeling.pfizer.com/ShowLabeling.aspx?id=19593" TargetMode="External"/><Relationship Id="rId23" Type="http://schemas.openxmlformats.org/officeDocument/2006/relationships/hyperlink" Target="https://labeling.pfizer.com/ShowLabeling.aspx?id=19593" TargetMode="External"/><Relationship Id="rId28" Type="http://schemas.openxmlformats.org/officeDocument/2006/relationships/hyperlink" Target="https://labeling.pfizer.com/ShowLabeling.aspx?id=19593" TargetMode="External"/><Relationship Id="rId49" Type="http://schemas.openxmlformats.org/officeDocument/2006/relationships/hyperlink" Target="https://labeling.pfizer.com/ShowLabeling.aspx?id=19593" TargetMode="External"/><Relationship Id="rId114" Type="http://schemas.openxmlformats.org/officeDocument/2006/relationships/hyperlink" Target="http://www.pfizer.com/" TargetMode="External"/><Relationship Id="rId119" Type="http://schemas.openxmlformats.org/officeDocument/2006/relationships/hyperlink" Target="https://labeling.pfizer.com/ShowLabeling.aspx?id=19593" TargetMode="External"/><Relationship Id="rId44" Type="http://schemas.openxmlformats.org/officeDocument/2006/relationships/hyperlink" Target="https://labeling.pfizer.com/ShowLabeling.aspx?id=19593" TargetMode="External"/><Relationship Id="rId60" Type="http://schemas.openxmlformats.org/officeDocument/2006/relationships/hyperlink" Target="https://labeling.pfizer.com/ShowLabeling.aspx?id=19593" TargetMode="External"/><Relationship Id="rId65" Type="http://schemas.openxmlformats.org/officeDocument/2006/relationships/hyperlink" Target="https://labeling.pfizer.com/ShowLabeling.aspx?id=19593" TargetMode="External"/><Relationship Id="rId81" Type="http://schemas.openxmlformats.org/officeDocument/2006/relationships/hyperlink" Target="https://labeling.pfizer.com/ShowLabeling.aspx?id=19593" TargetMode="External"/><Relationship Id="rId86" Type="http://schemas.openxmlformats.org/officeDocument/2006/relationships/hyperlink" Target="https://labeling.pfizer.com/ShowLabeling.aspx?id=19593" TargetMode="External"/><Relationship Id="rId13" Type="http://schemas.openxmlformats.org/officeDocument/2006/relationships/hyperlink" Target="https://labeling.pfizer.com/ShowLabeling.aspx?id=19593" TargetMode="External"/><Relationship Id="rId18" Type="http://schemas.openxmlformats.org/officeDocument/2006/relationships/hyperlink" Target="https://labeling.pfizer.com/ShowLabeling.aspx?id=19593" TargetMode="External"/><Relationship Id="rId39" Type="http://schemas.openxmlformats.org/officeDocument/2006/relationships/hyperlink" Target="https://labeling.pfizer.com/ShowLabeling.aspx?id=19593" TargetMode="External"/><Relationship Id="rId109" Type="http://schemas.openxmlformats.org/officeDocument/2006/relationships/hyperlink" Target="https://labeling.pfizer.com/ShowLabeling.aspx?id=19593" TargetMode="External"/><Relationship Id="rId34" Type="http://schemas.openxmlformats.org/officeDocument/2006/relationships/hyperlink" Target="https://labeling.pfizer.com/ShowLabeling.aspx?id=19593" TargetMode="External"/><Relationship Id="rId50" Type="http://schemas.openxmlformats.org/officeDocument/2006/relationships/hyperlink" Target="https://labeling.pfizer.com/ShowLabeling.aspx?id=19593" TargetMode="External"/><Relationship Id="rId55" Type="http://schemas.openxmlformats.org/officeDocument/2006/relationships/hyperlink" Target="https://labeling.pfizer.com/ShowLabeling.aspx?id=19593" TargetMode="External"/><Relationship Id="rId76" Type="http://schemas.openxmlformats.org/officeDocument/2006/relationships/hyperlink" Target="https://labeling.pfizer.com/ShowLabeling.aspx?id=19593" TargetMode="External"/><Relationship Id="rId97" Type="http://schemas.openxmlformats.org/officeDocument/2006/relationships/hyperlink" Target="https://labeling.pfizer.com/ShowLabeling.aspx?id=19593" TargetMode="External"/><Relationship Id="rId104" Type="http://schemas.openxmlformats.org/officeDocument/2006/relationships/hyperlink" Target="https://labeling.pfizer.com/ShowLabeling.aspx?id=19593" TargetMode="External"/><Relationship Id="rId120" Type="http://schemas.openxmlformats.org/officeDocument/2006/relationships/image" Target="media/image4.jpeg"/><Relationship Id="rId125" Type="http://schemas.openxmlformats.org/officeDocument/2006/relationships/image" Target="media/image9.jpeg"/><Relationship Id="rId7" Type="http://schemas.openxmlformats.org/officeDocument/2006/relationships/hyperlink" Target="https://labeling.pfizer.com/ShowLabeling.aspx?id=19593" TargetMode="External"/><Relationship Id="rId71" Type="http://schemas.openxmlformats.org/officeDocument/2006/relationships/hyperlink" Target="https://labeling.pfizer.com/ShowLabeling.aspx?id=19593" TargetMode="External"/><Relationship Id="rId92" Type="http://schemas.openxmlformats.org/officeDocument/2006/relationships/hyperlink" Target="https://labeling.pfizer.com/ShowLabeling.aspx?id=19593" TargetMode="External"/><Relationship Id="rId2" Type="http://schemas.openxmlformats.org/officeDocument/2006/relationships/settings" Target="settings.xml"/><Relationship Id="rId29" Type="http://schemas.openxmlformats.org/officeDocument/2006/relationships/hyperlink" Target="https://labeling.pfizer.com/ShowLabeling.aspx?id=19593" TargetMode="External"/><Relationship Id="rId24" Type="http://schemas.openxmlformats.org/officeDocument/2006/relationships/hyperlink" Target="https://labeling.pfizer.com/ShowLabeling.aspx?id=19593" TargetMode="External"/><Relationship Id="rId40" Type="http://schemas.openxmlformats.org/officeDocument/2006/relationships/hyperlink" Target="https://labeling.pfizer.com/ShowLabeling.aspx?id=19593" TargetMode="External"/><Relationship Id="rId45" Type="http://schemas.openxmlformats.org/officeDocument/2006/relationships/hyperlink" Target="https://labeling.pfizer.com/ShowLabeling.aspx?id=19593" TargetMode="External"/><Relationship Id="rId66" Type="http://schemas.openxmlformats.org/officeDocument/2006/relationships/hyperlink" Target="https://labeling.pfizer.com/ShowLabeling.aspx?id=19593" TargetMode="External"/><Relationship Id="rId87" Type="http://schemas.openxmlformats.org/officeDocument/2006/relationships/hyperlink" Target="https://labeling.pfizer.com/ShowLabeling.aspx?id=19593" TargetMode="External"/><Relationship Id="rId110" Type="http://schemas.openxmlformats.org/officeDocument/2006/relationships/hyperlink" Target="https://labeling.pfizer.com/ShowLabeling.aspx?id=19593" TargetMode="External"/><Relationship Id="rId115" Type="http://schemas.openxmlformats.org/officeDocument/2006/relationships/hyperlink" Target="http://www.pfizermedinfo.com/" TargetMode="External"/><Relationship Id="rId61" Type="http://schemas.openxmlformats.org/officeDocument/2006/relationships/hyperlink" Target="https://labeling.pfizer.com/ShowLabeling.aspx?id=19593" TargetMode="External"/><Relationship Id="rId82" Type="http://schemas.openxmlformats.org/officeDocument/2006/relationships/hyperlink" Target="https://labeling.pfizer.com/ShowLabeling.aspx?id=19593" TargetMode="External"/><Relationship Id="rId19" Type="http://schemas.openxmlformats.org/officeDocument/2006/relationships/hyperlink" Target="https://labeling.pfizer.com/ShowLabeling.aspx?id=19593" TargetMode="External"/><Relationship Id="rId14" Type="http://schemas.openxmlformats.org/officeDocument/2006/relationships/hyperlink" Target="https://labeling.pfizer.com/ShowLabeling.aspx?id=19593" TargetMode="External"/><Relationship Id="rId30" Type="http://schemas.openxmlformats.org/officeDocument/2006/relationships/hyperlink" Target="https://labeling.pfizer.com/ShowLabeling.aspx?id=19593" TargetMode="External"/><Relationship Id="rId35" Type="http://schemas.openxmlformats.org/officeDocument/2006/relationships/hyperlink" Target="https://labeling.pfizer.com/ShowLabeling.aspx?id=19593" TargetMode="External"/><Relationship Id="rId56" Type="http://schemas.openxmlformats.org/officeDocument/2006/relationships/hyperlink" Target="https://labeling.pfizer.com/ShowLabeling.aspx?id=19593" TargetMode="External"/><Relationship Id="rId77" Type="http://schemas.openxmlformats.org/officeDocument/2006/relationships/hyperlink" Target="https://labeling.pfizer.com/ShowLabeling.aspx?id=19593" TargetMode="External"/><Relationship Id="rId100" Type="http://schemas.openxmlformats.org/officeDocument/2006/relationships/hyperlink" Target="https://labeling.pfizer.com/ShowLabeling.aspx?id=19593" TargetMode="External"/><Relationship Id="rId105" Type="http://schemas.openxmlformats.org/officeDocument/2006/relationships/image" Target="media/image1.jpeg"/><Relationship Id="rId126" Type="http://schemas.openxmlformats.org/officeDocument/2006/relationships/image" Target="media/image10.jpeg"/><Relationship Id="rId8" Type="http://schemas.openxmlformats.org/officeDocument/2006/relationships/hyperlink" Target="https://labeling.pfizer.com/ShowLabeling.aspx?id=19593" TargetMode="External"/><Relationship Id="rId51" Type="http://schemas.openxmlformats.org/officeDocument/2006/relationships/hyperlink" Target="https://labeling.pfizer.com/ShowLabeling.aspx?id=19593" TargetMode="External"/><Relationship Id="rId72" Type="http://schemas.openxmlformats.org/officeDocument/2006/relationships/hyperlink" Target="https://labeling.pfizer.com/ShowLabeling.aspx?id=19593" TargetMode="External"/><Relationship Id="rId93" Type="http://schemas.openxmlformats.org/officeDocument/2006/relationships/hyperlink" Target="https://labeling.pfizer.com/ShowLabeling.aspx?id=19593" TargetMode="External"/><Relationship Id="rId98" Type="http://schemas.openxmlformats.org/officeDocument/2006/relationships/hyperlink" Target="https://labeling.pfizer.com/ShowLabeling.aspx?id=19593" TargetMode="External"/><Relationship Id="rId121" Type="http://schemas.openxmlformats.org/officeDocument/2006/relationships/image" Target="media/image5.jpeg"/><Relationship Id="rId3" Type="http://schemas.openxmlformats.org/officeDocument/2006/relationships/webSettings" Target="webSettings.xml"/><Relationship Id="rId25" Type="http://schemas.openxmlformats.org/officeDocument/2006/relationships/hyperlink" Target="https://labeling.pfizer.com/ShowLabeling.aspx?id=19593" TargetMode="External"/><Relationship Id="rId46" Type="http://schemas.openxmlformats.org/officeDocument/2006/relationships/hyperlink" Target="https://labeling.pfizer.com/ShowLabeling.aspx?id=19593" TargetMode="External"/><Relationship Id="rId67" Type="http://schemas.openxmlformats.org/officeDocument/2006/relationships/hyperlink" Target="https://labeling.pfizer.com/ShowLabeling.aspx?id=19593" TargetMode="External"/><Relationship Id="rId116" Type="http://schemas.openxmlformats.org/officeDocument/2006/relationships/image" Target="media/image3.jpeg"/><Relationship Id="rId20" Type="http://schemas.openxmlformats.org/officeDocument/2006/relationships/hyperlink" Target="https://labeling.pfizer.com/ShowLabeling.aspx?id=19593" TargetMode="External"/><Relationship Id="rId41" Type="http://schemas.openxmlformats.org/officeDocument/2006/relationships/hyperlink" Target="https://labeling.pfizer.com/ShowLabeling.aspx?id=19593" TargetMode="External"/><Relationship Id="rId62" Type="http://schemas.openxmlformats.org/officeDocument/2006/relationships/hyperlink" Target="https://labeling.pfizer.com/ShowLabeling.aspx?id=19593" TargetMode="External"/><Relationship Id="rId83" Type="http://schemas.openxmlformats.org/officeDocument/2006/relationships/hyperlink" Target="https://labeling.pfizer.com/ShowLabeling.aspx?id=19593" TargetMode="External"/><Relationship Id="rId88" Type="http://schemas.openxmlformats.org/officeDocument/2006/relationships/hyperlink" Target="https://labeling.pfizer.com/ShowLabeling.aspx?id=19593" TargetMode="External"/><Relationship Id="rId111" Type="http://schemas.openxmlformats.org/officeDocument/2006/relationships/hyperlink" Target="https://labeling.pfizer.com/ShowLabeling.aspx?id=19593" TargetMode="External"/><Relationship Id="rId15" Type="http://schemas.openxmlformats.org/officeDocument/2006/relationships/hyperlink" Target="https://labeling.pfizer.com/ShowLabeling.aspx?id=19593" TargetMode="External"/><Relationship Id="rId36" Type="http://schemas.openxmlformats.org/officeDocument/2006/relationships/hyperlink" Target="https://labeling.pfizer.com/ShowLabeling.aspx?id=19593" TargetMode="External"/><Relationship Id="rId57" Type="http://schemas.openxmlformats.org/officeDocument/2006/relationships/hyperlink" Target="https://labeling.pfizer.com/ShowLabeling.aspx?id=19593" TargetMode="External"/><Relationship Id="rId106" Type="http://schemas.openxmlformats.org/officeDocument/2006/relationships/hyperlink" Target="https://labeling.pfizer.com/ShowLabeling.aspx?id=19593" TargetMode="External"/><Relationship Id="rId127" Type="http://schemas.openxmlformats.org/officeDocument/2006/relationships/hyperlink" Target="http://www.pfizer.com/" TargetMode="External"/><Relationship Id="rId10" Type="http://schemas.openxmlformats.org/officeDocument/2006/relationships/hyperlink" Target="https://labeling.pfizer.com/ShowLabeling.aspx?id=19593" TargetMode="External"/><Relationship Id="rId31" Type="http://schemas.openxmlformats.org/officeDocument/2006/relationships/hyperlink" Target="https://labeling.pfizer.com/ShowLabeling.aspx?id=19593" TargetMode="External"/><Relationship Id="rId52" Type="http://schemas.openxmlformats.org/officeDocument/2006/relationships/hyperlink" Target="https://labeling.pfizer.com/ShowLabeling.aspx?id=19593" TargetMode="External"/><Relationship Id="rId73" Type="http://schemas.openxmlformats.org/officeDocument/2006/relationships/hyperlink" Target="https://labeling.pfizer.com/ShowLabeling.aspx?id=19593" TargetMode="External"/><Relationship Id="rId78" Type="http://schemas.openxmlformats.org/officeDocument/2006/relationships/hyperlink" Target="https://labeling.pfizer.com/ShowLabeling.aspx?id=19593" TargetMode="External"/><Relationship Id="rId94" Type="http://schemas.openxmlformats.org/officeDocument/2006/relationships/hyperlink" Target="https://labeling.pfizer.com/ShowLabeling.aspx?id=19593" TargetMode="External"/><Relationship Id="rId99" Type="http://schemas.openxmlformats.org/officeDocument/2006/relationships/hyperlink" Target="https://labeling.pfizer.com/ShowLabeling.aspx?id=19593" TargetMode="External"/><Relationship Id="rId101" Type="http://schemas.openxmlformats.org/officeDocument/2006/relationships/hyperlink" Target="https://labeling.pfizer.com/ShowLabeling.aspx?id=19593" TargetMode="External"/><Relationship Id="rId122" Type="http://schemas.openxmlformats.org/officeDocument/2006/relationships/image" Target="media/image6.jpeg"/><Relationship Id="rId4" Type="http://schemas.openxmlformats.org/officeDocument/2006/relationships/hyperlink" Target="https://labeling.pfizer.com/ShowLabeling.aspx?id=19593" TargetMode="External"/><Relationship Id="rId9" Type="http://schemas.openxmlformats.org/officeDocument/2006/relationships/hyperlink" Target="https://labeling.pfizer.com/ShowLabeling.aspx?id=19593" TargetMode="External"/><Relationship Id="rId26" Type="http://schemas.openxmlformats.org/officeDocument/2006/relationships/hyperlink" Target="https://labeling.pfizer.com/ShowLabeling.aspx?id=1959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28</Pages>
  <Words>9341</Words>
  <Characters>53248</Characters>
  <Application>Microsoft Office Word</Application>
  <DocSecurity>0</DocSecurity>
  <Lines>443</Lines>
  <Paragraphs>124</Paragraphs>
  <ScaleCrop>false</ScaleCrop>
  <Company/>
  <LinksUpToDate>false</LinksUpToDate>
  <CharactersWithSpaces>62465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Hofland</dc:creator>
  <cp:keywords/>
  <dc:description/>
  <cp:lastModifiedBy>Peter Hofland</cp:lastModifiedBy>
  <cp:revision>1</cp:revision>
  <dcterms:created xsi:type="dcterms:W3CDTF">2024-12-13T07:30:00Z</dcterms:created>
  <dcterms:modified xsi:type="dcterms:W3CDTF">2024-12-13T07:33:00Z</dcterms:modified>
</cp:coreProperties>
</file>